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0306" w14:textId="77777777" w:rsidR="00701EA7" w:rsidRDefault="007D7FDA">
      <w:pPr>
        <w:keepNext/>
        <w:spacing w:after="60"/>
        <w:jc w:val="center"/>
      </w:pPr>
      <w:r>
        <w:rPr>
          <w:rFonts w:ascii="Aptos" w:eastAsia="Aptos" w:hAnsi="Aptos" w:cs="Aptos"/>
          <w:b/>
          <w:bCs/>
          <w:color w:val="DF5F4D"/>
          <w:spacing w:val="22"/>
        </w:rPr>
        <w:t>REDUNDANCY &amp; RESTRUCTURING</w:t>
      </w:r>
    </w:p>
    <w:p w14:paraId="29CA0307" w14:textId="76B04393" w:rsidR="00701EA7" w:rsidRDefault="007D7FDA">
      <w:pPr>
        <w:spacing w:after="60"/>
        <w:jc w:val="center"/>
      </w:pPr>
      <w:r>
        <w:rPr>
          <w:rFonts w:ascii="Aptos" w:eastAsia="Aptos" w:hAnsi="Aptos" w:cs="Aptos"/>
          <w:b/>
          <w:bCs/>
          <w:color w:val="7C7C81"/>
          <w:sz w:val="48"/>
          <w:szCs w:val="48"/>
        </w:rPr>
        <w:t>Redundancy Policy</w:t>
      </w:r>
    </w:p>
    <w:p w14:paraId="29CA0308" w14:textId="77777777" w:rsidR="00701EA7" w:rsidRDefault="007D7FDA">
      <w:pPr>
        <w:spacing w:after="120"/>
        <w:jc w:val="center"/>
      </w:pPr>
      <w:r>
        <w:rPr>
          <w:rFonts w:ascii="Aptos" w:eastAsia="Aptos" w:hAnsi="Aptos" w:cs="Aptos"/>
          <w:color w:val="7C7C81"/>
        </w:rPr>
        <w:t>Employment Policies  |  White Cube Consulting</w:t>
      </w:r>
    </w:p>
    <w:p w14:paraId="29CA0309" w14:textId="77777777" w:rsidR="00701EA7" w:rsidRDefault="00701EA7">
      <w:pPr>
        <w:keepNext/>
        <w:pBdr>
          <w:bottom w:val="single" w:sz="4" w:space="1" w:color="B9B8B9"/>
        </w:pBdr>
        <w:spacing w:after="200"/>
      </w:pPr>
    </w:p>
    <w:p w14:paraId="1EDC3A77" w14:textId="249DE9EC" w:rsidR="008964B1" w:rsidRDefault="008964B1" w:rsidP="008964B1">
      <w:pPr>
        <w:keepNext/>
        <w:keepLines/>
        <w:rPr>
          <w:rFonts w:ascii="Aptos" w:eastAsia="Aptos" w:hAnsi="Aptos" w:cs="Aptos"/>
          <w:b/>
          <w:bCs/>
          <w:color w:val="7C7C81"/>
          <w:sz w:val="24"/>
          <w:szCs w:val="24"/>
        </w:rPr>
      </w:pPr>
      <w:r>
        <w:rPr>
          <w:rFonts w:ascii="Aptos" w:eastAsia="Aptos" w:hAnsi="Aptos" w:cs="Aptos"/>
          <w:b/>
          <w:bCs/>
          <w:color w:val="7C7C81"/>
          <w:sz w:val="24"/>
          <w:szCs w:val="24"/>
        </w:rPr>
        <w:t xml:space="preserve"> </w:t>
      </w:r>
    </w:p>
    <w:tbl>
      <w:tblPr>
        <w:tblStyle w:val="TableGrid"/>
        <w:tblW w:w="0" w:type="auto"/>
        <w:tblLook w:val="04A0" w:firstRow="1" w:lastRow="0" w:firstColumn="1" w:lastColumn="0" w:noHBand="0" w:noVBand="1"/>
      </w:tblPr>
      <w:tblGrid>
        <w:gridCol w:w="2122"/>
        <w:gridCol w:w="7506"/>
      </w:tblGrid>
      <w:tr w:rsidR="008964B1" w14:paraId="183C3297" w14:textId="77777777" w:rsidTr="008964B1">
        <w:tc>
          <w:tcPr>
            <w:tcW w:w="2122" w:type="dxa"/>
            <w:shd w:val="clear" w:color="auto" w:fill="DF5F4D"/>
          </w:tcPr>
          <w:p w14:paraId="1BBC5492" w14:textId="5416C802"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ORGANISATION</w:t>
            </w:r>
          </w:p>
        </w:tc>
        <w:tc>
          <w:tcPr>
            <w:tcW w:w="7506" w:type="dxa"/>
          </w:tcPr>
          <w:p w14:paraId="23052A80" w14:textId="41503EB8"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[Organisation Name]</w:t>
            </w:r>
          </w:p>
        </w:tc>
      </w:tr>
      <w:tr w:rsidR="008964B1" w14:paraId="2DA45706" w14:textId="77777777" w:rsidTr="008964B1">
        <w:tc>
          <w:tcPr>
            <w:tcW w:w="2122" w:type="dxa"/>
            <w:shd w:val="clear" w:color="auto" w:fill="DF5F4D"/>
          </w:tcPr>
          <w:p w14:paraId="586D8646" w14:textId="0903D251"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POLICY VERSION</w:t>
            </w:r>
          </w:p>
        </w:tc>
        <w:tc>
          <w:tcPr>
            <w:tcW w:w="7506" w:type="dxa"/>
          </w:tcPr>
          <w:p w14:paraId="7CC506D7" w14:textId="3E82F36F"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Version 1.0</w:t>
            </w:r>
          </w:p>
        </w:tc>
      </w:tr>
      <w:tr w:rsidR="008964B1" w14:paraId="7EE473AA" w14:textId="77777777" w:rsidTr="008964B1">
        <w:tc>
          <w:tcPr>
            <w:tcW w:w="2122" w:type="dxa"/>
            <w:shd w:val="clear" w:color="auto" w:fill="DF5F4D"/>
          </w:tcPr>
          <w:p w14:paraId="14AB50D5" w14:textId="72A81BE1"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DATE ADOPTED</w:t>
            </w:r>
          </w:p>
        </w:tc>
        <w:tc>
          <w:tcPr>
            <w:tcW w:w="7506" w:type="dxa"/>
          </w:tcPr>
          <w:p w14:paraId="0B48B215" w14:textId="40C1B3F4"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[Date]</w:t>
            </w:r>
          </w:p>
        </w:tc>
      </w:tr>
      <w:tr w:rsidR="008964B1" w14:paraId="02E9595D" w14:textId="77777777" w:rsidTr="008964B1">
        <w:tc>
          <w:tcPr>
            <w:tcW w:w="2122" w:type="dxa"/>
            <w:shd w:val="clear" w:color="auto" w:fill="DF5F4D"/>
            <w:vAlign w:val="center"/>
          </w:tcPr>
          <w:p w14:paraId="1D364F20" w14:textId="36427841"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REVIEW DATE</w:t>
            </w:r>
          </w:p>
        </w:tc>
        <w:tc>
          <w:tcPr>
            <w:tcW w:w="7506" w:type="dxa"/>
          </w:tcPr>
          <w:p w14:paraId="47863699" w14:textId="62216E2E"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[Annual review recommended - and following any significant legislative change]</w:t>
            </w:r>
          </w:p>
        </w:tc>
      </w:tr>
      <w:tr w:rsidR="008964B1" w14:paraId="50FE3D11" w14:textId="77777777" w:rsidTr="008964B1">
        <w:tc>
          <w:tcPr>
            <w:tcW w:w="2122" w:type="dxa"/>
            <w:shd w:val="clear" w:color="auto" w:fill="DF5F4D"/>
          </w:tcPr>
          <w:p w14:paraId="4D15E6BA" w14:textId="2F0C36A6"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POLICY OWNER</w:t>
            </w:r>
          </w:p>
        </w:tc>
        <w:tc>
          <w:tcPr>
            <w:tcW w:w="7506" w:type="dxa"/>
          </w:tcPr>
          <w:p w14:paraId="5C415246" w14:textId="378CD30C"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HR / Senior Management</w:t>
            </w:r>
          </w:p>
        </w:tc>
      </w:tr>
      <w:tr w:rsidR="008964B1" w14:paraId="6499052C" w14:textId="77777777" w:rsidTr="008964B1">
        <w:tc>
          <w:tcPr>
            <w:tcW w:w="2122" w:type="dxa"/>
            <w:shd w:val="clear" w:color="auto" w:fill="DF5F4D"/>
          </w:tcPr>
          <w:p w14:paraId="447995C2" w14:textId="02993A67" w:rsidR="008964B1" w:rsidRPr="008964B1" w:rsidRDefault="008964B1" w:rsidP="00E46201">
            <w:pPr>
              <w:keepNext/>
              <w:keepLines/>
              <w:spacing w:before="120" w:after="120" w:line="360" w:lineRule="auto"/>
              <w:rPr>
                <w:rFonts w:asciiTheme="minorHAnsi" w:eastAsia="Aptos" w:hAnsiTheme="minorHAnsi" w:cs="Aptos"/>
                <w:b/>
                <w:bCs/>
                <w:color w:val="FFFFFF" w:themeColor="background1"/>
                <w:sz w:val="24"/>
                <w:szCs w:val="24"/>
              </w:rPr>
            </w:pPr>
            <w:r w:rsidRPr="008964B1">
              <w:rPr>
                <w:rFonts w:asciiTheme="minorHAnsi" w:hAnsiTheme="minorHAnsi"/>
                <w:b/>
                <w:bCs/>
                <w:color w:val="FFFFFF" w:themeColor="background1"/>
              </w:rPr>
              <w:t>SCOPE</w:t>
            </w:r>
          </w:p>
        </w:tc>
        <w:tc>
          <w:tcPr>
            <w:tcW w:w="7506" w:type="dxa"/>
          </w:tcPr>
          <w:p w14:paraId="0773127D" w14:textId="30894243" w:rsidR="008964B1" w:rsidRPr="008964B1" w:rsidRDefault="008964B1" w:rsidP="00E46201">
            <w:pPr>
              <w:keepNext/>
              <w:keepLines/>
              <w:spacing w:before="120" w:after="120" w:line="360" w:lineRule="auto"/>
              <w:rPr>
                <w:rFonts w:ascii="Aptos" w:eastAsia="Aptos" w:hAnsi="Aptos" w:cs="Aptos"/>
                <w:color w:val="7C7C81"/>
              </w:rPr>
            </w:pPr>
            <w:r w:rsidRPr="008964B1">
              <w:rPr>
                <w:rFonts w:ascii="Aptos" w:eastAsia="Aptos" w:hAnsi="Aptos" w:cs="Aptos"/>
                <w:color w:val="7C7C81"/>
              </w:rPr>
              <w:t>All employees with at least two years' continuous service (for statutory entitlements)</w:t>
            </w:r>
          </w:p>
        </w:tc>
      </w:tr>
    </w:tbl>
    <w:p w14:paraId="46AFC5CC" w14:textId="77777777" w:rsidR="008964B1" w:rsidRDefault="008964B1" w:rsidP="008964B1">
      <w:pPr>
        <w:keepNext/>
        <w:keepLines/>
      </w:pPr>
    </w:p>
    <w:p w14:paraId="29CA031C" w14:textId="77777777" w:rsidR="00701EA7" w:rsidRDefault="007D7FDA">
      <w:pPr>
        <w:pBdr>
          <w:left w:val="single" w:sz="18" w:space="10" w:color="DF5F4D"/>
        </w:pBdr>
        <w:spacing w:after="120" w:line="264" w:lineRule="auto"/>
        <w:ind w:left="260"/>
      </w:pPr>
      <w:r>
        <w:rPr>
          <w:rFonts w:ascii="Aptos" w:eastAsia="Aptos" w:hAnsi="Aptos" w:cs="Aptos"/>
          <w:color w:val="7C7C81"/>
        </w:rPr>
        <w:t>Important - read before implementing this policy</w:t>
      </w:r>
    </w:p>
    <w:p w14:paraId="29CA031D" w14:textId="77777777" w:rsidR="00701EA7" w:rsidRDefault="007D7FDA">
      <w:pPr>
        <w:pBdr>
          <w:left w:val="single" w:sz="18" w:space="10" w:color="DF5F4D"/>
        </w:pBdr>
        <w:spacing w:after="120" w:line="264" w:lineRule="auto"/>
        <w:ind w:left="260"/>
      </w:pPr>
      <w:r>
        <w:rPr>
          <w:rFonts w:ascii="Aptos" w:eastAsia="Aptos" w:hAnsi="Aptos" w:cs="Aptos"/>
          <w:color w:val="7C7C81"/>
        </w:rPr>
        <w:t>Redundancy is one of the most legally complex and personally significant events in employment law. This policy template provides a framework and guide - it is not a substitute for specialist HR and legal advice in any specific situation.</w:t>
      </w:r>
    </w:p>
    <w:p w14:paraId="29CA031E" w14:textId="77777777" w:rsidR="00701EA7" w:rsidRDefault="007D7FDA">
      <w:pPr>
        <w:pBdr>
          <w:left w:val="single" w:sz="18" w:space="10" w:color="DF5F4D"/>
        </w:pBdr>
        <w:spacing w:after="120" w:line="264" w:lineRule="auto"/>
        <w:ind w:left="260"/>
      </w:pPr>
      <w:r>
        <w:rPr>
          <w:rFonts w:ascii="Aptos" w:eastAsia="Aptos" w:hAnsi="Aptos" w:cs="Aptos"/>
          <w:color w:val="7C7C81"/>
        </w:rPr>
        <w:t>Every redundancy situation is different. The legal obligations, consultation requirements and procedural steps that apply depend on the number of proposed redundancies, the roles and locations affected, the organisation's structure and recognition of trade unions, and many other factors. Always take HR and legal advice before initiating any redundancy process.</w:t>
      </w:r>
    </w:p>
    <w:p w14:paraId="29CA031F" w14:textId="77777777" w:rsidR="00701EA7" w:rsidRDefault="007D7FDA">
      <w:pPr>
        <w:pBdr>
          <w:left w:val="single" w:sz="18" w:space="10" w:color="DF5F4D"/>
        </w:pBdr>
        <w:spacing w:line="264" w:lineRule="auto"/>
        <w:ind w:left="260"/>
      </w:pPr>
      <w:r>
        <w:rPr>
          <w:rFonts w:ascii="Aptos" w:eastAsia="Aptos" w:hAnsi="Aptos" w:cs="Aptos"/>
          <w:color w:val="7C7C81"/>
        </w:rPr>
        <w:t>This document does not constitute legal advice. It should be reviewed, adapted and approved before use, taking into account the specific circumstances of the organisation and the requirements of current employment law.</w:t>
      </w:r>
    </w:p>
    <w:p w14:paraId="034BDE8C" w14:textId="77777777" w:rsidR="008964B1" w:rsidRDefault="008964B1" w:rsidP="008964B1">
      <w:pPr>
        <w:rPr>
          <w:rFonts w:ascii="Aptos" w:eastAsia="Aptos" w:hAnsi="Aptos" w:cs="Aptos"/>
          <w:b/>
          <w:bCs/>
          <w:color w:val="DF5F4D"/>
          <w:spacing w:val="20"/>
        </w:rPr>
      </w:pPr>
    </w:p>
    <w:p w14:paraId="056CB8CD" w14:textId="77777777" w:rsidR="00A169E0" w:rsidRDefault="00A169E0">
      <w:pPr>
        <w:rPr>
          <w:rFonts w:ascii="Aptos" w:eastAsia="Aptos" w:hAnsi="Aptos" w:cs="Aptos"/>
          <w:b/>
          <w:bCs/>
          <w:color w:val="DF5F4D"/>
          <w:spacing w:val="20"/>
        </w:rPr>
      </w:pPr>
      <w:r>
        <w:rPr>
          <w:rFonts w:ascii="Aptos" w:eastAsia="Aptos" w:hAnsi="Aptos" w:cs="Aptos"/>
          <w:b/>
          <w:bCs/>
          <w:color w:val="DF5F4D"/>
          <w:spacing w:val="20"/>
        </w:rPr>
        <w:br w:type="page"/>
      </w:r>
    </w:p>
    <w:p w14:paraId="29CA0320" w14:textId="12EF67C5" w:rsidR="00701EA7" w:rsidRPr="008964B1" w:rsidRDefault="008964B1" w:rsidP="008964B1">
      <w:pPr>
        <w:rPr>
          <w:rFonts w:ascii="Aptos" w:eastAsia="Aptos" w:hAnsi="Aptos" w:cs="Aptos"/>
          <w:b/>
          <w:bCs/>
          <w:color w:val="DF5F4D"/>
          <w:spacing w:val="20"/>
        </w:rPr>
      </w:pPr>
      <w:r>
        <w:rPr>
          <w:rFonts w:ascii="Aptos" w:eastAsia="Aptos" w:hAnsi="Aptos" w:cs="Aptos"/>
          <w:b/>
          <w:bCs/>
          <w:color w:val="DF5F4D"/>
          <w:spacing w:val="20"/>
        </w:rPr>
        <w:lastRenderedPageBreak/>
        <w:t>S</w:t>
      </w:r>
      <w:r w:rsidR="007D7FDA">
        <w:rPr>
          <w:rFonts w:ascii="Aptos" w:eastAsia="Aptos" w:hAnsi="Aptos" w:cs="Aptos"/>
          <w:b/>
          <w:bCs/>
          <w:color w:val="DF5F4D"/>
          <w:spacing w:val="20"/>
        </w:rPr>
        <w:t>ECTION 01</w:t>
      </w:r>
    </w:p>
    <w:p w14:paraId="29CA0321" w14:textId="77777777" w:rsidR="00701EA7" w:rsidRDefault="007D7FDA">
      <w:pPr>
        <w:keepNext/>
        <w:keepLines/>
      </w:pPr>
      <w:r>
        <w:rPr>
          <w:rFonts w:ascii="Aptos" w:eastAsia="Aptos" w:hAnsi="Aptos" w:cs="Aptos"/>
          <w:b/>
          <w:bCs/>
          <w:color w:val="7C7C81"/>
          <w:sz w:val="24"/>
          <w:szCs w:val="24"/>
        </w:rPr>
        <w:t>Legislative Framework</w:t>
      </w:r>
    </w:p>
    <w:p w14:paraId="29CA0322" w14:textId="77777777" w:rsidR="00701EA7" w:rsidRDefault="00701EA7">
      <w:pPr>
        <w:keepNext/>
        <w:pBdr>
          <w:bottom w:val="single" w:sz="6" w:space="1" w:color="B9B8B9"/>
        </w:pBdr>
        <w:spacing w:after="120"/>
      </w:pPr>
    </w:p>
    <w:p w14:paraId="29CA0323" w14:textId="77777777" w:rsidR="00701EA7" w:rsidRDefault="007D7FDA">
      <w:pPr>
        <w:spacing w:after="160" w:line="264" w:lineRule="auto"/>
      </w:pPr>
      <w:r>
        <w:rPr>
          <w:rFonts w:ascii="Aptos" w:eastAsia="Aptos" w:hAnsi="Aptos" w:cs="Aptos"/>
          <w:color w:val="7C7C81"/>
        </w:rPr>
        <w:t>This policy reflects the organisation's obligations under the following key legislation. It must be reviewed and updated whenever there is a material change in the law.</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548"/>
        <w:gridCol w:w="7080"/>
      </w:tblGrid>
      <w:tr w:rsidR="00701EA7" w:rsidRPr="008D0843" w14:paraId="29CA0326" w14:textId="77777777" w:rsidTr="008964B1">
        <w:trPr>
          <w:cantSplit/>
          <w:tblHeader/>
        </w:trPr>
        <w:tc>
          <w:tcPr>
            <w:tcW w:w="1323" w:type="pct"/>
            <w:shd w:val="clear" w:color="auto" w:fill="DF5F4D"/>
            <w:tcMar>
              <w:top w:w="90" w:type="dxa"/>
              <w:left w:w="0" w:type="dxa"/>
              <w:bottom w:w="90" w:type="dxa"/>
              <w:right w:w="120" w:type="dxa"/>
            </w:tcMar>
          </w:tcPr>
          <w:p w14:paraId="29CA0324" w14:textId="77777777" w:rsidR="00701EA7" w:rsidRPr="008D0843" w:rsidRDefault="007D7FDA" w:rsidP="008964B1">
            <w:pPr>
              <w:jc w:val="center"/>
              <w:rPr>
                <w:color w:val="FFFFFF" w:themeColor="background1"/>
              </w:rPr>
            </w:pPr>
            <w:r w:rsidRPr="008D0843">
              <w:rPr>
                <w:rFonts w:ascii="Aptos" w:eastAsia="Aptos" w:hAnsi="Aptos" w:cs="Aptos"/>
                <w:b/>
                <w:bCs/>
                <w:color w:val="FFFFFF" w:themeColor="background1"/>
                <w:spacing w:val="6"/>
              </w:rPr>
              <w:t>LEGISLATION</w:t>
            </w:r>
          </w:p>
        </w:tc>
        <w:tc>
          <w:tcPr>
            <w:tcW w:w="3677" w:type="pct"/>
            <w:shd w:val="clear" w:color="auto" w:fill="DF5F4D"/>
            <w:tcMar>
              <w:top w:w="90" w:type="dxa"/>
              <w:left w:w="120" w:type="dxa"/>
              <w:bottom w:w="90" w:type="dxa"/>
              <w:right w:w="120" w:type="dxa"/>
            </w:tcMar>
          </w:tcPr>
          <w:p w14:paraId="29CA0325" w14:textId="77777777" w:rsidR="00701EA7" w:rsidRPr="008D0843" w:rsidRDefault="007D7FDA" w:rsidP="008964B1">
            <w:pPr>
              <w:jc w:val="center"/>
              <w:rPr>
                <w:color w:val="FFFFFF" w:themeColor="background1"/>
              </w:rPr>
            </w:pPr>
            <w:r w:rsidRPr="008D0843">
              <w:rPr>
                <w:rFonts w:ascii="Aptos" w:eastAsia="Aptos" w:hAnsi="Aptos" w:cs="Aptos"/>
                <w:b/>
                <w:bCs/>
                <w:color w:val="FFFFFF" w:themeColor="background1"/>
                <w:spacing w:val="6"/>
              </w:rPr>
              <w:t>RELEVANCE TO REDUNDANCY</w:t>
            </w:r>
          </w:p>
        </w:tc>
      </w:tr>
      <w:tr w:rsidR="00701EA7" w:rsidRPr="008D0843" w14:paraId="29CA0329" w14:textId="77777777" w:rsidTr="008964B1">
        <w:trPr>
          <w:cantSplit/>
        </w:trPr>
        <w:tc>
          <w:tcPr>
            <w:tcW w:w="1323" w:type="pct"/>
            <w:tcMar>
              <w:top w:w="110" w:type="dxa"/>
              <w:left w:w="0" w:type="dxa"/>
              <w:bottom w:w="110" w:type="dxa"/>
              <w:right w:w="120" w:type="dxa"/>
            </w:tcMar>
          </w:tcPr>
          <w:p w14:paraId="29CA0327" w14:textId="77777777" w:rsidR="00701EA7" w:rsidRPr="008D0843" w:rsidRDefault="007D7FDA">
            <w:r w:rsidRPr="008D0843">
              <w:rPr>
                <w:rFonts w:ascii="Aptos" w:eastAsia="Aptos" w:hAnsi="Aptos" w:cs="Aptos"/>
                <w:b/>
                <w:bCs/>
                <w:color w:val="7C7C81"/>
              </w:rPr>
              <w:t>Employment Rights Act 1996 (ERA 1996)</w:t>
            </w:r>
          </w:p>
        </w:tc>
        <w:tc>
          <w:tcPr>
            <w:tcW w:w="3677" w:type="pct"/>
            <w:tcMar>
              <w:top w:w="110" w:type="dxa"/>
              <w:left w:w="120" w:type="dxa"/>
              <w:bottom w:w="110" w:type="dxa"/>
              <w:right w:w="120" w:type="dxa"/>
            </w:tcMar>
          </w:tcPr>
          <w:p w14:paraId="29CA0328" w14:textId="62115A18" w:rsidR="00701EA7" w:rsidRPr="008D0843" w:rsidRDefault="007D7FDA">
            <w:r w:rsidRPr="008D0843">
              <w:rPr>
                <w:rFonts w:ascii="Aptos" w:eastAsia="Aptos" w:hAnsi="Aptos" w:cs="Aptos"/>
                <w:color w:val="7C7C81"/>
              </w:rPr>
              <w:t>The primary statute governing the right not to be unfairly dismissed (s.94), the definition of redundancy (s.139), statutory redundancy pay entitlement and calculation (ss.135</w:t>
            </w:r>
            <w:r w:rsidR="00B22EAC">
              <w:rPr>
                <w:rFonts w:ascii="Aptos" w:eastAsia="Aptos" w:hAnsi="Aptos" w:cs="Aptos"/>
                <w:color w:val="7C7C81"/>
              </w:rPr>
              <w:t>-</w:t>
            </w:r>
            <w:r w:rsidRPr="008D0843">
              <w:rPr>
                <w:rFonts w:ascii="Aptos" w:eastAsia="Aptos" w:hAnsi="Aptos" w:cs="Aptos"/>
                <w:color w:val="7C7C81"/>
              </w:rPr>
              <w:t>162), the right to a trial period in alternative employment (s.138), and the right to time off to seek alternative work (s.52).</w:t>
            </w:r>
          </w:p>
        </w:tc>
      </w:tr>
      <w:tr w:rsidR="00701EA7" w:rsidRPr="008D0843" w14:paraId="29CA032C" w14:textId="77777777" w:rsidTr="008964B1">
        <w:trPr>
          <w:cantSplit/>
        </w:trPr>
        <w:tc>
          <w:tcPr>
            <w:tcW w:w="1323" w:type="pct"/>
            <w:tcMar>
              <w:top w:w="110" w:type="dxa"/>
              <w:left w:w="0" w:type="dxa"/>
              <w:bottom w:w="110" w:type="dxa"/>
              <w:right w:w="120" w:type="dxa"/>
            </w:tcMar>
          </w:tcPr>
          <w:p w14:paraId="29CA032A" w14:textId="77777777" w:rsidR="00701EA7" w:rsidRPr="008D0843" w:rsidRDefault="007D7FDA">
            <w:r w:rsidRPr="008D0843">
              <w:rPr>
                <w:rFonts w:ascii="Aptos" w:eastAsia="Aptos" w:hAnsi="Aptos" w:cs="Aptos"/>
                <w:b/>
                <w:bCs/>
                <w:color w:val="7C7C81"/>
              </w:rPr>
              <w:t>Trade Union and Labour Relations (Consolidation) Act 1992 (TULRCA 1992)</w:t>
            </w:r>
          </w:p>
        </w:tc>
        <w:tc>
          <w:tcPr>
            <w:tcW w:w="3677" w:type="pct"/>
            <w:tcMar>
              <w:top w:w="110" w:type="dxa"/>
              <w:left w:w="120" w:type="dxa"/>
              <w:bottom w:w="110" w:type="dxa"/>
              <w:right w:w="120" w:type="dxa"/>
            </w:tcMar>
          </w:tcPr>
          <w:p w14:paraId="29CA032B" w14:textId="77777777" w:rsidR="00701EA7" w:rsidRPr="008D0843" w:rsidRDefault="007D7FDA">
            <w:r w:rsidRPr="008D0843">
              <w:rPr>
                <w:rFonts w:ascii="Aptos" w:eastAsia="Aptos" w:hAnsi="Aptos" w:cs="Aptos"/>
                <w:color w:val="7C7C81"/>
              </w:rPr>
              <w:t>Governs collective consultation obligations where 20 or more redundancies are proposed within a 90-day period, including the obligation to consult with recognised trade unions or elected employee representatives (s.188), and the obligation to notify the Secretary of State (s.193).</w:t>
            </w:r>
          </w:p>
        </w:tc>
      </w:tr>
      <w:tr w:rsidR="00701EA7" w:rsidRPr="008D0843" w14:paraId="29CA032F" w14:textId="77777777" w:rsidTr="008964B1">
        <w:trPr>
          <w:cantSplit/>
        </w:trPr>
        <w:tc>
          <w:tcPr>
            <w:tcW w:w="1323" w:type="pct"/>
            <w:tcMar>
              <w:top w:w="110" w:type="dxa"/>
              <w:left w:w="0" w:type="dxa"/>
              <w:bottom w:w="110" w:type="dxa"/>
              <w:right w:w="120" w:type="dxa"/>
            </w:tcMar>
          </w:tcPr>
          <w:p w14:paraId="29CA032D" w14:textId="77777777" w:rsidR="00701EA7" w:rsidRPr="008D0843" w:rsidRDefault="007D7FDA">
            <w:r w:rsidRPr="008D0843">
              <w:rPr>
                <w:rFonts w:ascii="Aptos" w:eastAsia="Aptos" w:hAnsi="Aptos" w:cs="Aptos"/>
                <w:b/>
                <w:bCs/>
                <w:color w:val="7C7C81"/>
              </w:rPr>
              <w:t>Equality Act 2010</w:t>
            </w:r>
          </w:p>
        </w:tc>
        <w:tc>
          <w:tcPr>
            <w:tcW w:w="3677" w:type="pct"/>
            <w:tcMar>
              <w:top w:w="110" w:type="dxa"/>
              <w:left w:w="120" w:type="dxa"/>
              <w:bottom w:w="110" w:type="dxa"/>
              <w:right w:w="120" w:type="dxa"/>
            </w:tcMar>
          </w:tcPr>
          <w:p w14:paraId="29CA032E" w14:textId="77777777" w:rsidR="00701EA7" w:rsidRPr="008D0843" w:rsidRDefault="007D7FDA">
            <w:r w:rsidRPr="008D0843">
              <w:rPr>
                <w:rFonts w:ascii="Aptos" w:eastAsia="Aptos" w:hAnsi="Aptos" w:cs="Aptos"/>
                <w:color w:val="7C7C81"/>
              </w:rPr>
              <w:t>Prohibits selection for redundancy on the grounds of any protected characteristic. Redundancy selection must not directly or indirectly discriminate on grounds of sex, age, race, disability, pregnancy, maternity, religion or belief, sexual orientation or gender reassignment.</w:t>
            </w:r>
          </w:p>
        </w:tc>
      </w:tr>
      <w:tr w:rsidR="00701EA7" w:rsidRPr="008D0843" w14:paraId="29CA0332" w14:textId="77777777" w:rsidTr="008964B1">
        <w:trPr>
          <w:cantSplit/>
        </w:trPr>
        <w:tc>
          <w:tcPr>
            <w:tcW w:w="1323" w:type="pct"/>
            <w:tcMar>
              <w:top w:w="110" w:type="dxa"/>
              <w:left w:w="0" w:type="dxa"/>
              <w:bottom w:w="110" w:type="dxa"/>
              <w:right w:w="120" w:type="dxa"/>
            </w:tcMar>
          </w:tcPr>
          <w:p w14:paraId="29CA0330" w14:textId="77777777" w:rsidR="00701EA7" w:rsidRPr="008D0843" w:rsidRDefault="007D7FDA">
            <w:r w:rsidRPr="008D0843">
              <w:rPr>
                <w:rFonts w:ascii="Aptos" w:eastAsia="Aptos" w:hAnsi="Aptos" w:cs="Aptos"/>
                <w:b/>
                <w:bCs/>
                <w:color w:val="7C7C81"/>
              </w:rPr>
              <w:t>Transfer of Undertakings (Protection of Employment) Regulations 2006 (TUPE)</w:t>
            </w:r>
          </w:p>
        </w:tc>
        <w:tc>
          <w:tcPr>
            <w:tcW w:w="3677" w:type="pct"/>
            <w:tcMar>
              <w:top w:w="110" w:type="dxa"/>
              <w:left w:w="120" w:type="dxa"/>
              <w:bottom w:w="110" w:type="dxa"/>
              <w:right w:w="120" w:type="dxa"/>
            </w:tcMar>
          </w:tcPr>
          <w:p w14:paraId="29CA0331" w14:textId="77777777" w:rsidR="00701EA7" w:rsidRPr="008D0843" w:rsidRDefault="007D7FDA">
            <w:r w:rsidRPr="008D0843">
              <w:rPr>
                <w:rFonts w:ascii="Aptos" w:eastAsia="Aptos" w:hAnsi="Aptos" w:cs="Aptos"/>
                <w:color w:val="7C7C81"/>
              </w:rPr>
              <w:t>Where a business transfer occurs, employees transfer to the new employer with their existing terms and conditions. Dismissal in connection with a TUPE transfer may be automatically unfair. Separate specialist advice is essential in TUPE situations.</w:t>
            </w:r>
          </w:p>
        </w:tc>
      </w:tr>
      <w:tr w:rsidR="00701EA7" w:rsidRPr="008D0843" w14:paraId="29CA0335" w14:textId="77777777" w:rsidTr="008964B1">
        <w:trPr>
          <w:cantSplit/>
        </w:trPr>
        <w:tc>
          <w:tcPr>
            <w:tcW w:w="1323" w:type="pct"/>
            <w:tcMar>
              <w:top w:w="110" w:type="dxa"/>
              <w:left w:w="0" w:type="dxa"/>
              <w:bottom w:w="110" w:type="dxa"/>
              <w:right w:w="120" w:type="dxa"/>
            </w:tcMar>
          </w:tcPr>
          <w:p w14:paraId="29CA0333" w14:textId="77777777" w:rsidR="00701EA7" w:rsidRPr="008D0843" w:rsidRDefault="007D7FDA">
            <w:r w:rsidRPr="008D0843">
              <w:rPr>
                <w:rFonts w:ascii="Aptos" w:eastAsia="Aptos" w:hAnsi="Aptos" w:cs="Aptos"/>
                <w:b/>
                <w:bCs/>
                <w:color w:val="7C7C81"/>
              </w:rPr>
              <w:t>Employment Relations Act 1999</w:t>
            </w:r>
          </w:p>
        </w:tc>
        <w:tc>
          <w:tcPr>
            <w:tcW w:w="3677" w:type="pct"/>
            <w:tcMar>
              <w:top w:w="110" w:type="dxa"/>
              <w:left w:w="120" w:type="dxa"/>
              <w:bottom w:w="110" w:type="dxa"/>
              <w:right w:w="120" w:type="dxa"/>
            </w:tcMar>
          </w:tcPr>
          <w:p w14:paraId="29CA0334" w14:textId="77777777" w:rsidR="00701EA7" w:rsidRPr="008D0843" w:rsidRDefault="007D7FDA">
            <w:r w:rsidRPr="008D0843">
              <w:rPr>
                <w:rFonts w:ascii="Aptos" w:eastAsia="Aptos" w:hAnsi="Aptos" w:cs="Aptos"/>
                <w:color w:val="7C7C81"/>
              </w:rPr>
              <w:t>Provides employees with the right to be accompanied at formal redundancy consultation meetings by a work colleague or trade union representative.</w:t>
            </w:r>
          </w:p>
        </w:tc>
      </w:tr>
      <w:tr w:rsidR="00701EA7" w:rsidRPr="008D0843" w14:paraId="29CA0338" w14:textId="77777777" w:rsidTr="008964B1">
        <w:trPr>
          <w:cantSplit/>
        </w:trPr>
        <w:tc>
          <w:tcPr>
            <w:tcW w:w="1323" w:type="pct"/>
            <w:tcMar>
              <w:top w:w="110" w:type="dxa"/>
              <w:left w:w="0" w:type="dxa"/>
              <w:bottom w:w="110" w:type="dxa"/>
              <w:right w:w="120" w:type="dxa"/>
            </w:tcMar>
          </w:tcPr>
          <w:p w14:paraId="29CA0336" w14:textId="77777777" w:rsidR="00701EA7" w:rsidRPr="008D0843" w:rsidRDefault="007D7FDA">
            <w:r w:rsidRPr="008D0843">
              <w:rPr>
                <w:rFonts w:ascii="Aptos" w:eastAsia="Aptos" w:hAnsi="Aptos" w:cs="Aptos"/>
                <w:b/>
                <w:bCs/>
                <w:color w:val="7C7C81"/>
              </w:rPr>
              <w:t>National Minimum Wage Act 1998 and the National Living Wage</w:t>
            </w:r>
          </w:p>
        </w:tc>
        <w:tc>
          <w:tcPr>
            <w:tcW w:w="3677" w:type="pct"/>
            <w:tcMar>
              <w:top w:w="110" w:type="dxa"/>
              <w:left w:w="120" w:type="dxa"/>
              <w:bottom w:w="110" w:type="dxa"/>
              <w:right w:w="120" w:type="dxa"/>
            </w:tcMar>
          </w:tcPr>
          <w:p w14:paraId="29CA0337" w14:textId="77777777" w:rsidR="00701EA7" w:rsidRPr="008D0843" w:rsidRDefault="007D7FDA">
            <w:r w:rsidRPr="008D0843">
              <w:rPr>
                <w:rFonts w:ascii="Aptos" w:eastAsia="Aptos" w:hAnsi="Aptos" w:cs="Aptos"/>
                <w:color w:val="7C7C81"/>
              </w:rPr>
              <w:t>Pay during notice periods, garden leave and the redundancy payment itself must comply with minimum wage obligations.</w:t>
            </w:r>
          </w:p>
        </w:tc>
      </w:tr>
      <w:tr w:rsidR="00701EA7" w:rsidRPr="008D0843" w14:paraId="29CA033B" w14:textId="77777777" w:rsidTr="008964B1">
        <w:trPr>
          <w:cantSplit/>
        </w:trPr>
        <w:tc>
          <w:tcPr>
            <w:tcW w:w="1323" w:type="pct"/>
            <w:tcMar>
              <w:top w:w="110" w:type="dxa"/>
              <w:left w:w="0" w:type="dxa"/>
              <w:bottom w:w="110" w:type="dxa"/>
              <w:right w:w="120" w:type="dxa"/>
            </w:tcMar>
          </w:tcPr>
          <w:p w14:paraId="29CA0339" w14:textId="77777777" w:rsidR="00701EA7" w:rsidRPr="008D0843" w:rsidRDefault="007D7FDA">
            <w:r w:rsidRPr="008D0843">
              <w:rPr>
                <w:rFonts w:ascii="Aptos" w:eastAsia="Aptos" w:hAnsi="Aptos" w:cs="Aptos"/>
                <w:b/>
                <w:bCs/>
                <w:color w:val="7C7C81"/>
              </w:rPr>
              <w:t>Working Time Regulations 1998</w:t>
            </w:r>
          </w:p>
        </w:tc>
        <w:tc>
          <w:tcPr>
            <w:tcW w:w="3677" w:type="pct"/>
            <w:tcMar>
              <w:top w:w="110" w:type="dxa"/>
              <w:left w:w="120" w:type="dxa"/>
              <w:bottom w:w="110" w:type="dxa"/>
              <w:right w:w="120" w:type="dxa"/>
            </w:tcMar>
          </w:tcPr>
          <w:p w14:paraId="29CA033A" w14:textId="77777777" w:rsidR="00701EA7" w:rsidRPr="008D0843" w:rsidRDefault="007D7FDA">
            <w:r w:rsidRPr="008D0843">
              <w:rPr>
                <w:rFonts w:ascii="Aptos" w:eastAsia="Aptos" w:hAnsi="Aptos" w:cs="Aptos"/>
                <w:color w:val="7C7C81"/>
              </w:rPr>
              <w:t>Employees retain the right to accrued annual leave throughout any notice period, including periods of garden leave.</w:t>
            </w:r>
          </w:p>
        </w:tc>
      </w:tr>
    </w:tbl>
    <w:p w14:paraId="29CA033C" w14:textId="77777777" w:rsidR="00701EA7" w:rsidRDefault="007D7FDA">
      <w:pPr>
        <w:keepNext/>
        <w:keepLines/>
        <w:spacing w:before="200" w:after="40"/>
      </w:pPr>
      <w:r>
        <w:rPr>
          <w:rFonts w:ascii="Aptos" w:eastAsia="Aptos" w:hAnsi="Aptos" w:cs="Aptos"/>
          <w:b/>
          <w:bCs/>
          <w:color w:val="DF5F4D"/>
          <w:spacing w:val="20"/>
        </w:rPr>
        <w:t>SECTION 02</w:t>
      </w:r>
    </w:p>
    <w:p w14:paraId="29CA033D" w14:textId="77777777" w:rsidR="00701EA7" w:rsidRDefault="007D7FDA">
      <w:pPr>
        <w:keepNext/>
        <w:keepLines/>
      </w:pPr>
      <w:r>
        <w:rPr>
          <w:rFonts w:ascii="Aptos" w:eastAsia="Aptos" w:hAnsi="Aptos" w:cs="Aptos"/>
          <w:b/>
          <w:bCs/>
          <w:color w:val="7C7C81"/>
          <w:sz w:val="24"/>
          <w:szCs w:val="24"/>
        </w:rPr>
        <w:t>Policy Statement</w:t>
      </w:r>
    </w:p>
    <w:p w14:paraId="29CA033E" w14:textId="77777777" w:rsidR="00701EA7" w:rsidRDefault="00701EA7">
      <w:pPr>
        <w:keepNext/>
        <w:pBdr>
          <w:bottom w:val="single" w:sz="6" w:space="1" w:color="B9B8B9"/>
        </w:pBdr>
        <w:spacing w:after="120"/>
      </w:pPr>
    </w:p>
    <w:p w14:paraId="29CA033F" w14:textId="77777777" w:rsidR="00701EA7" w:rsidRDefault="007D7FDA">
      <w:pPr>
        <w:spacing w:after="160" w:line="264" w:lineRule="auto"/>
      </w:pPr>
      <w:r>
        <w:rPr>
          <w:rFonts w:ascii="Aptos" w:eastAsia="Aptos" w:hAnsi="Aptos" w:cs="Aptos"/>
          <w:color w:val="7C7C81"/>
        </w:rPr>
        <w:t>[Organisation Name] is committed to treating all employees with dignity, fairness and respect throughout every stage of their employment - including in circumstances where redundancy may be necessary. We will always make every reasonable effort to avoid compulsory redundancy, and where it cannot be avoided, we will ensure the process is conducted lawfully, fairly, transparently and with genuine care for the individuals affected.</w:t>
      </w:r>
    </w:p>
    <w:p w14:paraId="29CA0340" w14:textId="77777777" w:rsidR="00701EA7" w:rsidRDefault="007D7FDA">
      <w:pPr>
        <w:spacing w:after="160" w:line="264" w:lineRule="auto"/>
      </w:pPr>
      <w:r>
        <w:rPr>
          <w:rFonts w:ascii="Aptos" w:eastAsia="Aptos" w:hAnsi="Aptos" w:cs="Aptos"/>
          <w:color w:val="7C7C81"/>
        </w:rPr>
        <w:t>We recognise that redundancy is one of the most difficult experiences an employee can go through. We commit to providing meaningful consultation, clear communication, genuine consideration of alternatives, appropriate support and fair compensation - and to treating every individual involved with the respect and humanity they deserve.</w:t>
      </w:r>
    </w:p>
    <w:p w14:paraId="29CA0341" w14:textId="77777777" w:rsidR="00701EA7" w:rsidRDefault="007D7FDA">
      <w:pPr>
        <w:spacing w:after="160" w:line="264" w:lineRule="auto"/>
      </w:pPr>
      <w:r>
        <w:rPr>
          <w:rFonts w:ascii="Aptos" w:eastAsia="Aptos" w:hAnsi="Aptos" w:cs="Aptos"/>
          <w:color w:val="7C7C81"/>
        </w:rPr>
        <w:lastRenderedPageBreak/>
        <w:t>This policy applies to all employees of [Organisation Name]. Statutory redundancy pay entitlements apply to employees with at least two years' continuous service, though the organisation's commitment to a fair and transparent process applies to all employees regardless of service length.</w:t>
      </w:r>
    </w:p>
    <w:p w14:paraId="29CA0342" w14:textId="77777777" w:rsidR="00701EA7" w:rsidRDefault="007D7FDA">
      <w:pPr>
        <w:keepNext/>
        <w:keepLines/>
        <w:spacing w:before="200" w:after="40"/>
      </w:pPr>
      <w:r>
        <w:rPr>
          <w:rFonts w:ascii="Aptos" w:eastAsia="Aptos" w:hAnsi="Aptos" w:cs="Aptos"/>
          <w:b/>
          <w:bCs/>
          <w:color w:val="DF5F4D"/>
          <w:spacing w:val="20"/>
        </w:rPr>
        <w:t>SECTION 03</w:t>
      </w:r>
    </w:p>
    <w:p w14:paraId="29CA0343" w14:textId="77777777" w:rsidR="00701EA7" w:rsidRDefault="007D7FDA">
      <w:pPr>
        <w:keepNext/>
        <w:keepLines/>
      </w:pPr>
      <w:r>
        <w:rPr>
          <w:rFonts w:ascii="Aptos" w:eastAsia="Aptos" w:hAnsi="Aptos" w:cs="Aptos"/>
          <w:b/>
          <w:bCs/>
          <w:color w:val="7C7C81"/>
          <w:sz w:val="24"/>
          <w:szCs w:val="24"/>
        </w:rPr>
        <w:t>Definition of Redundancy</w:t>
      </w:r>
    </w:p>
    <w:p w14:paraId="29CA0344" w14:textId="77777777" w:rsidR="00701EA7" w:rsidRDefault="00701EA7">
      <w:pPr>
        <w:keepNext/>
        <w:pBdr>
          <w:bottom w:val="single" w:sz="6" w:space="1" w:color="B9B8B9"/>
        </w:pBdr>
        <w:spacing w:after="120"/>
      </w:pPr>
    </w:p>
    <w:p w14:paraId="29CA0345" w14:textId="77777777" w:rsidR="00701EA7" w:rsidRDefault="007D7FDA">
      <w:pPr>
        <w:spacing w:after="160" w:line="264" w:lineRule="auto"/>
      </w:pPr>
      <w:r>
        <w:rPr>
          <w:rFonts w:ascii="Aptos" w:eastAsia="Aptos" w:hAnsi="Aptos" w:cs="Aptos"/>
          <w:color w:val="7C7C81"/>
        </w:rPr>
        <w:t>Under section 139 of the Employment Rights Act 1996, redundancy arises where an employee's dismissal is wholly or mainly attributable to one or more of the following circumstances:</w:t>
      </w:r>
    </w:p>
    <w:p w14:paraId="29CA0346" w14:textId="5B0A1AB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employer has ceased - or intends to cease - to carry on the business for the purposes of which the employee was employed</w:t>
      </w:r>
    </w:p>
    <w:p w14:paraId="29CA0347" w14:textId="4D66839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employer has ceased - or intends to cease - to carry on that business in the place where the employee was employed</w:t>
      </w:r>
    </w:p>
    <w:p w14:paraId="29CA0348" w14:textId="0A7DD03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requirements of the business for employees to carry out work of a particular kind have ceased or diminished - or are expected to cease or diminish - whether in the place where the employee was employed or generally</w:t>
      </w:r>
    </w:p>
    <w:p w14:paraId="29CA0349" w14:textId="77777777" w:rsidR="00701EA7" w:rsidRDefault="007D7FDA">
      <w:pPr>
        <w:spacing w:before="150" w:after="160" w:line="264" w:lineRule="auto"/>
      </w:pPr>
      <w:r>
        <w:rPr>
          <w:rFonts w:ascii="Aptos" w:eastAsia="Aptos" w:hAnsi="Aptos" w:cs="Aptos"/>
          <w:color w:val="7C7C81"/>
        </w:rPr>
        <w:t>Redundancy is not a disciplinary process. It is not related to individual conduct or performance. It arises from a business need or organisational change - not from anything the employee has or has not done.</w:t>
      </w:r>
    </w:p>
    <w:p w14:paraId="29CA034A" w14:textId="77777777" w:rsidR="00701EA7" w:rsidRDefault="007D7FDA">
      <w:pPr>
        <w:pBdr>
          <w:left w:val="single" w:sz="18" w:space="10" w:color="DF5F4D"/>
        </w:pBdr>
        <w:spacing w:line="264" w:lineRule="auto"/>
        <w:ind w:left="260"/>
      </w:pPr>
      <w:r>
        <w:rPr>
          <w:rFonts w:ascii="Aptos" w:eastAsia="Aptos" w:hAnsi="Aptos" w:cs="Aptos"/>
          <w:color w:val="7C7C81"/>
        </w:rPr>
        <w:t>Not every dismissal framed as redundancy is legally redundant. If an employee is replaced by another person doing the same or substantially similar work, the dismissal will not meet the legal definition of redundancy and may constitute unfair dismissal. Always take HR advice before initiating any redundancy process.</w:t>
      </w:r>
    </w:p>
    <w:p w14:paraId="29CA034B" w14:textId="77777777" w:rsidR="00701EA7" w:rsidRDefault="007D7FDA">
      <w:pPr>
        <w:keepNext/>
        <w:keepLines/>
        <w:spacing w:before="200" w:after="40"/>
      </w:pPr>
      <w:r>
        <w:rPr>
          <w:rFonts w:ascii="Aptos" w:eastAsia="Aptos" w:hAnsi="Aptos" w:cs="Aptos"/>
          <w:b/>
          <w:bCs/>
          <w:color w:val="DF5F4D"/>
          <w:spacing w:val="20"/>
        </w:rPr>
        <w:t>SECTION 04</w:t>
      </w:r>
    </w:p>
    <w:p w14:paraId="29CA034C" w14:textId="77777777" w:rsidR="00701EA7" w:rsidRDefault="007D7FDA">
      <w:pPr>
        <w:keepNext/>
        <w:keepLines/>
      </w:pPr>
      <w:r>
        <w:rPr>
          <w:rFonts w:ascii="Aptos" w:eastAsia="Aptos" w:hAnsi="Aptos" w:cs="Aptos"/>
          <w:b/>
          <w:bCs/>
          <w:color w:val="7C7C81"/>
          <w:sz w:val="24"/>
          <w:szCs w:val="24"/>
        </w:rPr>
        <w:t>Avoiding Redundancy - Measures the Organisation Will Consider</w:t>
      </w:r>
    </w:p>
    <w:p w14:paraId="29CA034D" w14:textId="77777777" w:rsidR="00701EA7" w:rsidRDefault="00701EA7">
      <w:pPr>
        <w:keepNext/>
        <w:pBdr>
          <w:bottom w:val="single" w:sz="6" w:space="1" w:color="B9B8B9"/>
        </w:pBdr>
        <w:spacing w:after="120"/>
      </w:pPr>
    </w:p>
    <w:p w14:paraId="29CA034E" w14:textId="77777777" w:rsidR="00701EA7" w:rsidRDefault="007D7FDA">
      <w:pPr>
        <w:spacing w:after="160" w:line="264" w:lineRule="auto"/>
      </w:pPr>
      <w:r>
        <w:rPr>
          <w:rFonts w:ascii="Aptos" w:eastAsia="Aptos" w:hAnsi="Aptos" w:cs="Aptos"/>
          <w:color w:val="7C7C81"/>
        </w:rPr>
        <w:t>The organisation is committed to taking every reasonable step to avoid the need for compulsory redundancy before that option is pursued. The following measures will be considered and, where appropriate, implemented before any decision is taken to proceed with compulsory redundancies:</w:t>
      </w:r>
    </w:p>
    <w:p w14:paraId="29CA034F"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Reducing Workforce Costs and Numbers Without Compulsory Redundancy</w:t>
      </w:r>
    </w:p>
    <w:p w14:paraId="29CA0350" w14:textId="71F4440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Halting or reducing external recruitment and reviewing whether vacant posts can remain unfilled</w:t>
      </w:r>
    </w:p>
    <w:p w14:paraId="29CA0351" w14:textId="217C282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Inviting applications for voluntary redundancy - with no guarantee that any or all applications will be accepted</w:t>
      </w:r>
    </w:p>
    <w:p w14:paraId="29CA0352" w14:textId="10227C5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Inviting applications for voluntary early retirement (where applicable)</w:t>
      </w:r>
    </w:p>
    <w:p w14:paraId="29CA0353" w14:textId="5309A5C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Reviewing and reducing the use of agency workers, contractors or consultants where this can reasonably be achieved</w:t>
      </w:r>
    </w:p>
    <w:p w14:paraId="29CA0354" w14:textId="66C160B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Reviewing overtime arrangements and reducing hours where this is operationally possible</w:t>
      </w:r>
    </w:p>
    <w:p w14:paraId="29CA0355"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Restructuring Working Arrangements</w:t>
      </w:r>
    </w:p>
    <w:p w14:paraId="29CA0356" w14:textId="1C58FA8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Exploring reductions in working hours, including job share arrangements</w:t>
      </w:r>
    </w:p>
    <w:p w14:paraId="29CA0357" w14:textId="518063F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Offering temporary or permanent changes to working patterns</w:t>
      </w:r>
    </w:p>
    <w:p w14:paraId="29CA0358" w14:textId="36C52FE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Offering a sabbatical or career break to employees who may be interested</w:t>
      </w:r>
    </w:p>
    <w:p w14:paraId="29CA0359" w14:textId="3AD6C209"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Exploring temporary lay-off arrangements (subject to contractual entitlement and employee agreement)</w:t>
      </w:r>
    </w:p>
    <w:p w14:paraId="29CA035A" w14:textId="06BE12B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Exploring short-time working arrangements (subject to contractual entitlement and employee agreement)</w:t>
      </w:r>
    </w:p>
    <w:p w14:paraId="29CA035B"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Redeployment and Reskilling</w:t>
      </w:r>
    </w:p>
    <w:p w14:paraId="29CA035C" w14:textId="69778AE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Identifying suitable alternative roles within the organisation - including roles at the same, higher or lower level</w:t>
      </w:r>
    </w:p>
    <w:p w14:paraId="29CA035D" w14:textId="6B289CB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Offering retraining or upskilling support where this would make an employee suitable for an alternative role</w:t>
      </w:r>
    </w:p>
    <w:p w14:paraId="29CA035E" w14:textId="1746DCB3" w:rsidR="00701EA7" w:rsidRDefault="00B22EAC">
      <w:pPr>
        <w:spacing w:line="258" w:lineRule="auto"/>
        <w:ind w:left="300" w:hanging="220"/>
        <w:rPr>
          <w:rFonts w:ascii="Aptos" w:eastAsia="Aptos" w:hAnsi="Aptos" w:cs="Aptos"/>
          <w:color w:val="7C7C81"/>
        </w:rPr>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Consulting employees on their own ideas and preferences for alternative arrangements</w:t>
      </w:r>
    </w:p>
    <w:p w14:paraId="0D11A89A" w14:textId="77777777" w:rsidR="008964B1" w:rsidRDefault="008964B1">
      <w:pPr>
        <w:spacing w:line="258" w:lineRule="auto"/>
        <w:ind w:left="300" w:hanging="220"/>
      </w:pPr>
    </w:p>
    <w:p w14:paraId="29CA035F" w14:textId="5A10196D" w:rsidR="00701EA7" w:rsidRDefault="007D7FDA">
      <w:pPr>
        <w:pBdr>
          <w:left w:val="single" w:sz="18" w:space="10" w:color="DF5F4D"/>
        </w:pBdr>
        <w:spacing w:line="264" w:lineRule="auto"/>
        <w:ind w:left="260"/>
      </w:pPr>
      <w:r>
        <w:rPr>
          <w:rFonts w:ascii="Aptos" w:eastAsia="Aptos" w:hAnsi="Aptos" w:cs="Aptos"/>
          <w:color w:val="7C7C81"/>
        </w:rPr>
        <w:t>The obligation to consider alternatives to redundancy is not merely a courtesy - it is a legal and procedural</w:t>
      </w:r>
      <w:r w:rsidR="008964B1">
        <w:rPr>
          <w:rFonts w:ascii="Aptos" w:eastAsia="Aptos" w:hAnsi="Aptos" w:cs="Aptos"/>
          <w:color w:val="7C7C81"/>
        </w:rPr>
        <w:t xml:space="preserve"> </w:t>
      </w:r>
      <w:r>
        <w:rPr>
          <w:rFonts w:ascii="Aptos" w:eastAsia="Aptos" w:hAnsi="Aptos" w:cs="Aptos"/>
          <w:color w:val="7C7C81"/>
        </w:rPr>
        <w:t>requirement. Failure to genuinely explore alternatives before proceeding to compulsory redundancy may render any subsequent dismissal unfair.</w:t>
      </w:r>
    </w:p>
    <w:p w14:paraId="29CA0360" w14:textId="77777777" w:rsidR="00701EA7" w:rsidRDefault="007D7FDA">
      <w:pPr>
        <w:keepNext/>
        <w:keepLines/>
        <w:spacing w:before="200" w:after="40"/>
      </w:pPr>
      <w:r>
        <w:rPr>
          <w:rFonts w:ascii="Aptos" w:eastAsia="Aptos" w:hAnsi="Aptos" w:cs="Aptos"/>
          <w:b/>
          <w:bCs/>
          <w:color w:val="DF5F4D"/>
          <w:spacing w:val="20"/>
        </w:rPr>
        <w:t>SECTION 05</w:t>
      </w:r>
    </w:p>
    <w:p w14:paraId="29CA0361" w14:textId="77777777" w:rsidR="00701EA7" w:rsidRDefault="007D7FDA">
      <w:pPr>
        <w:keepNext/>
        <w:keepLines/>
      </w:pPr>
      <w:r>
        <w:rPr>
          <w:rFonts w:ascii="Aptos" w:eastAsia="Aptos" w:hAnsi="Aptos" w:cs="Aptos"/>
          <w:b/>
          <w:bCs/>
          <w:color w:val="7C7C81"/>
          <w:sz w:val="24"/>
          <w:szCs w:val="24"/>
        </w:rPr>
        <w:t>The Redundancy Process</w:t>
      </w:r>
    </w:p>
    <w:p w14:paraId="29CA0362" w14:textId="77777777" w:rsidR="00701EA7" w:rsidRDefault="00701EA7">
      <w:pPr>
        <w:keepNext/>
        <w:pBdr>
          <w:bottom w:val="single" w:sz="6" w:space="1" w:color="B9B8B9"/>
        </w:pBdr>
        <w:spacing w:after="120"/>
      </w:pPr>
    </w:p>
    <w:p w14:paraId="29CA0363" w14:textId="77777777" w:rsidR="00701EA7" w:rsidRDefault="007D7FDA">
      <w:pPr>
        <w:spacing w:before="150" w:after="160" w:line="264" w:lineRule="auto"/>
      </w:pPr>
      <w:r>
        <w:rPr>
          <w:rFonts w:ascii="Aptos" w:eastAsia="Aptos" w:hAnsi="Aptos" w:cs="Aptos"/>
          <w:color w:val="7C7C81"/>
        </w:rPr>
        <w:t>The organisation will follow a structured, fair and transparent process in all redundancy situations. The specific steps and timescales may vary depending on the number of redundancies proposed, the structure of the organisation and the specific circumstances involved. HR must be involved from the outset.</w:t>
      </w:r>
    </w:p>
    <w:p w14:paraId="29CA0364" w14:textId="77777777" w:rsidR="00701EA7" w:rsidRDefault="007D7FDA">
      <w:pPr>
        <w:spacing w:after="160" w:line="264" w:lineRule="auto"/>
      </w:pPr>
      <w:r>
        <w:rPr>
          <w:rFonts w:ascii="Aptos" w:eastAsia="Aptos" w:hAnsi="Aptos" w:cs="Aptos"/>
          <w:color w:val="7C7C81"/>
        </w:rPr>
        <w:t>The organisation will develop a communication plan to ensure employees, managers, representatives and stakeholders receive timely, accurate and consistent information throughout the process.</w:t>
      </w:r>
    </w:p>
    <w:p w14:paraId="29CA0365"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t xml:space="preserve">STAGE 1   </w:t>
      </w:r>
      <w:r>
        <w:rPr>
          <w:rFonts w:ascii="Aptos" w:eastAsia="Aptos" w:hAnsi="Aptos" w:cs="Aptos"/>
          <w:b/>
          <w:bCs/>
          <w:color w:val="7C7C81"/>
        </w:rPr>
        <w:t>Business Case and Decision to Consider Redundancies</w:t>
      </w:r>
    </w:p>
    <w:p w14:paraId="29CA0366" w14:textId="77777777" w:rsidR="00701EA7" w:rsidRDefault="007D7FDA">
      <w:pPr>
        <w:spacing w:after="160" w:line="264" w:lineRule="auto"/>
      </w:pPr>
      <w:r>
        <w:rPr>
          <w:rFonts w:ascii="Aptos" w:eastAsia="Aptos" w:hAnsi="Aptos" w:cs="Aptos"/>
          <w:color w:val="7C7C81"/>
        </w:rPr>
        <w:t>Before any consultation begins, the organisation must be able to clearly articulate the business reason for the proposed redundancies. The business case must be genuine, properly documented and capable of being explained clearly to the affected employees.</w:t>
      </w:r>
    </w:p>
    <w:p w14:paraId="29CA0367" w14:textId="15BB7F0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Document the business reason fully - the commercial, operational or strategic rationale for the proposed change</w:t>
      </w:r>
    </w:p>
    <w:p w14:paraId="29CA0368" w14:textId="19E43DC8"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Define the scope of the potential impact - which roles, functions or locations are potentially affected</w:t>
      </w:r>
    </w:p>
    <w:p w14:paraId="29CA0369" w14:textId="2A11CB99"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Identify the number of roles potentially at risk</w:t>
      </w:r>
    </w:p>
    <w:p w14:paraId="29CA036A" w14:textId="65D41689"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the provisional timetable for the process</w:t>
      </w:r>
    </w:p>
    <w:p w14:paraId="29CA036B" w14:textId="5E4DBFB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Brief all managers involved on the process, their responsibilities and the importance of confidentiality before any communication takes place</w:t>
      </w:r>
    </w:p>
    <w:p w14:paraId="29CA036C" w14:textId="13724B8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Take HR and legal advice before any communication is made to employees</w:t>
      </w:r>
    </w:p>
    <w:p w14:paraId="29CA036D"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t xml:space="preserve">STAGE 2   </w:t>
      </w:r>
      <w:r>
        <w:rPr>
          <w:rFonts w:ascii="Aptos" w:eastAsia="Aptos" w:hAnsi="Aptos" w:cs="Aptos"/>
          <w:b/>
          <w:bCs/>
          <w:color w:val="7C7C81"/>
        </w:rPr>
        <w:t>Identifying the Pool for Selection</w:t>
      </w:r>
    </w:p>
    <w:p w14:paraId="29CA036E" w14:textId="77777777" w:rsidR="00701EA7" w:rsidRDefault="007D7FDA">
      <w:pPr>
        <w:spacing w:before="150" w:after="160" w:line="264" w:lineRule="auto"/>
      </w:pPr>
      <w:r>
        <w:rPr>
          <w:rFonts w:ascii="Aptos" w:eastAsia="Aptos" w:hAnsi="Aptos" w:cs="Aptos"/>
          <w:color w:val="7C7C81"/>
        </w:rPr>
        <w:t>Where there are more employees in similar or interchangeable roles than there are remaining positions, a pool of employees from which selection will be made must be defined. The definition of the pool is critically important - a pool that is defined too narrowly or that excludes employees doing similar work may result in an unfair dismissal finding.</w:t>
      </w:r>
    </w:p>
    <w:p w14:paraId="29CA036F" w14:textId="5F45ADCD"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Define the pool based on the roles and functions affected by the proposed change</w:t>
      </w:r>
    </w:p>
    <w:p w14:paraId="29CA0370" w14:textId="44F7F75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Include all employees whose roles are the same as or substantially similar to those being made redundant or reorganised</w:t>
      </w:r>
    </w:p>
    <w:p w14:paraId="29CA0371" w14:textId="6B55073D"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Consider whether to include employees from related functions where the change may create opportunities for internal redeployment</w:t>
      </w:r>
    </w:p>
    <w:p w14:paraId="29CA0372" w14:textId="7F0124D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Document the rationale for the pool definition - this may be scrutinised in any subsequent Employment Tribunal proceedings</w:t>
      </w:r>
    </w:p>
    <w:p w14:paraId="29CA0373" w14:textId="039E40C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Take HR advice on the appropriate pool definition before communicating it to employees</w:t>
      </w:r>
    </w:p>
    <w:p w14:paraId="29CA0374"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t xml:space="preserve">STAGE 3   </w:t>
      </w:r>
      <w:r>
        <w:rPr>
          <w:rFonts w:ascii="Aptos" w:eastAsia="Aptos" w:hAnsi="Aptos" w:cs="Aptos"/>
          <w:b/>
          <w:bCs/>
          <w:color w:val="7C7C81"/>
        </w:rPr>
        <w:t>Consultation - Individual and Collective</w:t>
      </w:r>
    </w:p>
    <w:p w14:paraId="29CA0375" w14:textId="77777777" w:rsidR="00701EA7" w:rsidRDefault="007D7FDA">
      <w:pPr>
        <w:spacing w:before="150" w:after="160" w:line="264" w:lineRule="auto"/>
      </w:pPr>
      <w:r>
        <w:rPr>
          <w:rFonts w:ascii="Aptos" w:eastAsia="Aptos" w:hAnsi="Aptos" w:cs="Aptos"/>
          <w:color w:val="7C7C81"/>
        </w:rPr>
        <w:t>Consultation is a fundamental legal requirement in all redundancy situations. It must be genuine - meaning it must begin at a stage when proposals are still capable of being influenced, and the organisation must have an open mind about the representations made. Consultation that is purely notional or that takes place after decisions have already been made is not lawful.</w:t>
      </w:r>
    </w:p>
    <w:p w14:paraId="29CA0376" w14:textId="77777777" w:rsidR="00701EA7" w:rsidRDefault="007D7FDA">
      <w:pPr>
        <w:keepNext/>
        <w:keepLines/>
        <w:spacing w:before="220" w:after="100"/>
      </w:pPr>
      <w:r>
        <w:rPr>
          <w:rFonts w:ascii="Aptos" w:eastAsia="Aptos" w:hAnsi="Aptos" w:cs="Aptos"/>
          <w:color w:val="DF5F4D"/>
        </w:rPr>
        <w:lastRenderedPageBreak/>
        <w:t xml:space="preserve">▪ </w:t>
      </w:r>
      <w:r>
        <w:rPr>
          <w:rFonts w:ascii="Aptos" w:eastAsia="Aptos" w:hAnsi="Aptos" w:cs="Aptos"/>
          <w:b/>
          <w:bCs/>
          <w:color w:val="7C7C81"/>
        </w:rPr>
        <w:t>Individual Consultation</w:t>
      </w:r>
    </w:p>
    <w:p w14:paraId="29CA0377" w14:textId="77777777" w:rsidR="00701EA7" w:rsidRDefault="007D7FDA">
      <w:pPr>
        <w:spacing w:after="160" w:line="264" w:lineRule="auto"/>
      </w:pPr>
      <w:r>
        <w:rPr>
          <w:rFonts w:ascii="Aptos" w:eastAsia="Aptos" w:hAnsi="Aptos" w:cs="Aptos"/>
          <w:color w:val="7C7C81"/>
        </w:rPr>
        <w:t>Every employee who is at risk of redundancy is entitled to individual consultation, regardless of the number of redundancies proposed. Individual consultation will include:</w:t>
      </w:r>
    </w:p>
    <w:p w14:paraId="29CA0378" w14:textId="200F834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formal at-risk notification meeting - informing the employee that their role is at risk, explaining the business reason and inviting them to ask questions</w:t>
      </w:r>
    </w:p>
    <w:p w14:paraId="29CA0379" w14:textId="3238E6E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One or more individual consultation meetings - providing the employee with the opportunity to comment on the business case, challenge the selection process and propose alternatives</w:t>
      </w:r>
    </w:p>
    <w:p w14:paraId="29CA037A" w14:textId="6DF76EF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right to be accompanied at formal consultation meetings by a work colleague or trade union representative</w:t>
      </w:r>
    </w:p>
    <w:p w14:paraId="29CA037B" w14:textId="11E115D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Genuine consideration of any representations, alternatives or ideas raised by the employee</w:t>
      </w:r>
    </w:p>
    <w:p w14:paraId="29CA037C" w14:textId="72A88718"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Written confirmation of the outcome of consultation and any decision made</w:t>
      </w:r>
    </w:p>
    <w:p w14:paraId="2965473C" w14:textId="77777777" w:rsidR="00A169E0" w:rsidRDefault="00A169E0" w:rsidP="00A169E0">
      <w:pPr>
        <w:rPr>
          <w:rFonts w:ascii="Aptos" w:eastAsia="Aptos" w:hAnsi="Aptos" w:cs="Aptos"/>
          <w:color w:val="7C7C81"/>
        </w:rPr>
      </w:pPr>
    </w:p>
    <w:p w14:paraId="29CA037D" w14:textId="52F202E1" w:rsidR="00701EA7" w:rsidRPr="00A169E0" w:rsidRDefault="00A169E0" w:rsidP="00A169E0">
      <w:pPr>
        <w:rPr>
          <w:rFonts w:ascii="Aptos" w:eastAsia="Aptos" w:hAnsi="Aptos" w:cs="Aptos"/>
          <w:color w:val="7C7C81"/>
        </w:rPr>
      </w:pPr>
      <w:r>
        <w:rPr>
          <w:rFonts w:ascii="Aptos" w:eastAsia="Aptos" w:hAnsi="Aptos" w:cs="Aptos"/>
          <w:color w:val="7C7C81"/>
        </w:rPr>
        <w:t>T</w:t>
      </w:r>
      <w:r w:rsidR="007D7FDA">
        <w:rPr>
          <w:rFonts w:ascii="Aptos" w:eastAsia="Aptos" w:hAnsi="Aptos" w:cs="Aptos"/>
          <w:color w:val="7C7C81"/>
        </w:rPr>
        <w:t>here is no fixed minimum period for individual consultation, but it must be meaningful and sufficient for the circumstances. As a minimum, the organisation will ensure there is adequate time for employees to consider their position and to make representations before any decision is confirmed. In practice, even for individual redundancies, a minimum of two to three weeks of individual consultation is strongly recommended.</w:t>
      </w:r>
    </w:p>
    <w:p w14:paraId="29CA037E"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Collective Consultation</w:t>
      </w:r>
    </w:p>
    <w:p w14:paraId="29CA037F" w14:textId="77777777" w:rsidR="00701EA7" w:rsidRDefault="007D7FDA">
      <w:pPr>
        <w:spacing w:after="160" w:line="264" w:lineRule="auto"/>
      </w:pPr>
      <w:r>
        <w:rPr>
          <w:rFonts w:ascii="Aptos" w:eastAsia="Aptos" w:hAnsi="Aptos" w:cs="Aptos"/>
          <w:color w:val="7C7C81"/>
        </w:rPr>
        <w:t>Where the organisation proposes to dismiss 20 or more employees at one establishment within any period of 90 days or less for reasons of redundancy, collective consultation obligations are triggered under TULRCA 1992. The following table sets out the minimum consultation periods and notification requirements: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77"/>
        <w:gridCol w:w="3177"/>
        <w:gridCol w:w="3274"/>
      </w:tblGrid>
      <w:tr w:rsidR="00701EA7" w:rsidRPr="008D0843" w14:paraId="29CA0383" w14:textId="77777777" w:rsidTr="008964B1">
        <w:trPr>
          <w:cantSplit/>
          <w:tblHeader/>
        </w:trPr>
        <w:tc>
          <w:tcPr>
            <w:tcW w:w="1650" w:type="pct"/>
            <w:shd w:val="clear" w:color="auto" w:fill="DF5F4D"/>
            <w:tcMar>
              <w:top w:w="90" w:type="dxa"/>
              <w:left w:w="0" w:type="dxa"/>
              <w:bottom w:w="90" w:type="dxa"/>
              <w:right w:w="120" w:type="dxa"/>
            </w:tcMar>
          </w:tcPr>
          <w:p w14:paraId="29CA0380" w14:textId="77777777" w:rsidR="00701EA7" w:rsidRPr="008D0843" w:rsidRDefault="007D7FDA" w:rsidP="008964B1">
            <w:pPr>
              <w:jc w:val="center"/>
              <w:rPr>
                <w:color w:val="FFFFFF" w:themeColor="background1"/>
              </w:rPr>
            </w:pPr>
            <w:r w:rsidRPr="008D0843">
              <w:rPr>
                <w:rFonts w:ascii="Aptos" w:eastAsia="Aptos" w:hAnsi="Aptos" w:cs="Aptos"/>
                <w:b/>
                <w:bCs/>
                <w:color w:val="FFFFFF" w:themeColor="background1"/>
                <w:spacing w:val="6"/>
              </w:rPr>
              <w:t>NUMBER OF PROPOSED REDUNDANCIES</w:t>
            </w:r>
          </w:p>
        </w:tc>
        <w:tc>
          <w:tcPr>
            <w:tcW w:w="1650" w:type="pct"/>
            <w:shd w:val="clear" w:color="auto" w:fill="DF5F4D"/>
            <w:tcMar>
              <w:top w:w="90" w:type="dxa"/>
              <w:left w:w="120" w:type="dxa"/>
              <w:bottom w:w="90" w:type="dxa"/>
              <w:right w:w="120" w:type="dxa"/>
            </w:tcMar>
          </w:tcPr>
          <w:p w14:paraId="29CA0381" w14:textId="77777777" w:rsidR="00701EA7" w:rsidRPr="008D0843" w:rsidRDefault="007D7FDA" w:rsidP="008964B1">
            <w:pPr>
              <w:jc w:val="center"/>
              <w:rPr>
                <w:color w:val="FFFFFF" w:themeColor="background1"/>
              </w:rPr>
            </w:pPr>
            <w:r w:rsidRPr="008D0843">
              <w:rPr>
                <w:rFonts w:ascii="Aptos" w:eastAsia="Aptos" w:hAnsi="Aptos" w:cs="Aptos"/>
                <w:b/>
                <w:bCs/>
                <w:color w:val="FFFFFF" w:themeColor="background1"/>
                <w:spacing w:val="6"/>
              </w:rPr>
              <w:t>MINIMUM COLLECTIVE CONSULTATION PERIOD</w:t>
            </w:r>
          </w:p>
        </w:tc>
        <w:tc>
          <w:tcPr>
            <w:tcW w:w="1700" w:type="pct"/>
            <w:shd w:val="clear" w:color="auto" w:fill="DF5F4D"/>
            <w:tcMar>
              <w:top w:w="90" w:type="dxa"/>
              <w:left w:w="120" w:type="dxa"/>
              <w:bottom w:w="90" w:type="dxa"/>
              <w:right w:w="120" w:type="dxa"/>
            </w:tcMar>
          </w:tcPr>
          <w:p w14:paraId="29CA0382" w14:textId="77777777" w:rsidR="00701EA7" w:rsidRPr="008D0843" w:rsidRDefault="007D7FDA" w:rsidP="008964B1">
            <w:pPr>
              <w:jc w:val="center"/>
              <w:rPr>
                <w:color w:val="FFFFFF" w:themeColor="background1"/>
              </w:rPr>
            </w:pPr>
            <w:r w:rsidRPr="008D0843">
              <w:rPr>
                <w:rFonts w:ascii="Aptos" w:eastAsia="Aptos" w:hAnsi="Aptos" w:cs="Aptos"/>
                <w:b/>
                <w:bCs/>
                <w:color w:val="FFFFFF" w:themeColor="background1"/>
                <w:spacing w:val="6"/>
              </w:rPr>
              <w:t>NOTIFICATION TO SECRETARY OF STATE (FORM HR1)</w:t>
            </w:r>
          </w:p>
        </w:tc>
      </w:tr>
      <w:tr w:rsidR="00701EA7" w14:paraId="29CA0387" w14:textId="77777777" w:rsidTr="008964B1">
        <w:trPr>
          <w:cantSplit/>
        </w:trPr>
        <w:tc>
          <w:tcPr>
            <w:tcW w:w="1650" w:type="pct"/>
            <w:tcMar>
              <w:top w:w="110" w:type="dxa"/>
              <w:left w:w="0" w:type="dxa"/>
              <w:bottom w:w="110" w:type="dxa"/>
              <w:right w:w="120" w:type="dxa"/>
            </w:tcMar>
          </w:tcPr>
          <w:p w14:paraId="29CA0384" w14:textId="77777777" w:rsidR="00701EA7" w:rsidRDefault="007D7FDA" w:rsidP="008964B1">
            <w:pPr>
              <w:jc w:val="center"/>
            </w:pPr>
            <w:r>
              <w:rPr>
                <w:rFonts w:ascii="Aptos" w:eastAsia="Aptos" w:hAnsi="Aptos" w:cs="Aptos"/>
                <w:b/>
                <w:bCs/>
                <w:color w:val="7C7C81"/>
              </w:rPr>
              <w:t>Fewer than 20 in any 90-day period</w:t>
            </w:r>
          </w:p>
        </w:tc>
        <w:tc>
          <w:tcPr>
            <w:tcW w:w="1650" w:type="pct"/>
            <w:tcMar>
              <w:top w:w="110" w:type="dxa"/>
              <w:left w:w="120" w:type="dxa"/>
              <w:bottom w:w="110" w:type="dxa"/>
              <w:right w:w="120" w:type="dxa"/>
            </w:tcMar>
          </w:tcPr>
          <w:p w14:paraId="29CA0385" w14:textId="77777777" w:rsidR="00701EA7" w:rsidRDefault="007D7FDA">
            <w:r>
              <w:rPr>
                <w:rFonts w:ascii="Aptos" w:eastAsia="Aptos" w:hAnsi="Aptos" w:cs="Aptos"/>
                <w:color w:val="7C7C81"/>
              </w:rPr>
              <w:t>No collective consultation obligation (individual consultation still required)</w:t>
            </w:r>
          </w:p>
        </w:tc>
        <w:tc>
          <w:tcPr>
            <w:tcW w:w="1700" w:type="pct"/>
            <w:tcMar>
              <w:top w:w="110" w:type="dxa"/>
              <w:left w:w="120" w:type="dxa"/>
              <w:bottom w:w="110" w:type="dxa"/>
              <w:right w:w="120" w:type="dxa"/>
            </w:tcMar>
          </w:tcPr>
          <w:p w14:paraId="29CA0386" w14:textId="77777777" w:rsidR="00701EA7" w:rsidRDefault="007D7FDA">
            <w:r>
              <w:rPr>
                <w:rFonts w:ascii="Aptos" w:eastAsia="Aptos" w:hAnsi="Aptos" w:cs="Aptos"/>
                <w:color w:val="7C7C81"/>
              </w:rPr>
              <w:t>Not required</w:t>
            </w:r>
          </w:p>
        </w:tc>
      </w:tr>
      <w:tr w:rsidR="00701EA7" w14:paraId="29CA038B" w14:textId="77777777" w:rsidTr="008964B1">
        <w:trPr>
          <w:cantSplit/>
        </w:trPr>
        <w:tc>
          <w:tcPr>
            <w:tcW w:w="1650" w:type="pct"/>
            <w:tcMar>
              <w:top w:w="110" w:type="dxa"/>
              <w:left w:w="0" w:type="dxa"/>
              <w:bottom w:w="110" w:type="dxa"/>
              <w:right w:w="120" w:type="dxa"/>
            </w:tcMar>
          </w:tcPr>
          <w:p w14:paraId="29CA0388" w14:textId="77777777" w:rsidR="00701EA7" w:rsidRDefault="007D7FDA" w:rsidP="008964B1">
            <w:pPr>
              <w:jc w:val="center"/>
            </w:pPr>
            <w:r>
              <w:rPr>
                <w:rFonts w:ascii="Aptos" w:eastAsia="Aptos" w:hAnsi="Aptos" w:cs="Aptos"/>
                <w:b/>
                <w:bCs/>
                <w:color w:val="7C7C81"/>
              </w:rPr>
              <w:t>20 to 99 in any 90-day period</w:t>
            </w:r>
          </w:p>
        </w:tc>
        <w:tc>
          <w:tcPr>
            <w:tcW w:w="1650" w:type="pct"/>
            <w:tcMar>
              <w:top w:w="110" w:type="dxa"/>
              <w:left w:w="120" w:type="dxa"/>
              <w:bottom w:w="110" w:type="dxa"/>
              <w:right w:w="120" w:type="dxa"/>
            </w:tcMar>
          </w:tcPr>
          <w:p w14:paraId="29CA0389" w14:textId="77777777" w:rsidR="00701EA7" w:rsidRDefault="007D7FDA">
            <w:r>
              <w:rPr>
                <w:rFonts w:ascii="Aptos" w:eastAsia="Aptos" w:hAnsi="Aptos" w:cs="Aptos"/>
                <w:color w:val="7C7C81"/>
              </w:rPr>
              <w:t>Minimum 30 days before the first dismissal takes effect</w:t>
            </w:r>
          </w:p>
        </w:tc>
        <w:tc>
          <w:tcPr>
            <w:tcW w:w="1700" w:type="pct"/>
            <w:tcMar>
              <w:top w:w="110" w:type="dxa"/>
              <w:left w:w="120" w:type="dxa"/>
              <w:bottom w:w="110" w:type="dxa"/>
              <w:right w:w="120" w:type="dxa"/>
            </w:tcMar>
          </w:tcPr>
          <w:p w14:paraId="29CA038A" w14:textId="77777777" w:rsidR="00701EA7" w:rsidRDefault="007D7FDA">
            <w:r>
              <w:rPr>
                <w:rFonts w:ascii="Aptos" w:eastAsia="Aptos" w:hAnsi="Aptos" w:cs="Aptos"/>
                <w:color w:val="7C7C81"/>
              </w:rPr>
              <w:t>Must notify before consultation begins</w:t>
            </w:r>
          </w:p>
        </w:tc>
      </w:tr>
      <w:tr w:rsidR="00701EA7" w14:paraId="29CA038F" w14:textId="77777777" w:rsidTr="008964B1">
        <w:trPr>
          <w:cantSplit/>
        </w:trPr>
        <w:tc>
          <w:tcPr>
            <w:tcW w:w="1650" w:type="pct"/>
            <w:tcMar>
              <w:top w:w="110" w:type="dxa"/>
              <w:left w:w="0" w:type="dxa"/>
              <w:bottom w:w="110" w:type="dxa"/>
              <w:right w:w="120" w:type="dxa"/>
            </w:tcMar>
          </w:tcPr>
          <w:p w14:paraId="29CA038C" w14:textId="77777777" w:rsidR="00701EA7" w:rsidRDefault="007D7FDA" w:rsidP="008964B1">
            <w:pPr>
              <w:jc w:val="center"/>
            </w:pPr>
            <w:r>
              <w:rPr>
                <w:rFonts w:ascii="Aptos" w:eastAsia="Aptos" w:hAnsi="Aptos" w:cs="Aptos"/>
                <w:b/>
                <w:bCs/>
                <w:color w:val="7C7C81"/>
              </w:rPr>
              <w:t>100 or more in any 90-day period</w:t>
            </w:r>
          </w:p>
        </w:tc>
        <w:tc>
          <w:tcPr>
            <w:tcW w:w="1650" w:type="pct"/>
            <w:tcMar>
              <w:top w:w="110" w:type="dxa"/>
              <w:left w:w="120" w:type="dxa"/>
              <w:bottom w:w="110" w:type="dxa"/>
              <w:right w:w="120" w:type="dxa"/>
            </w:tcMar>
          </w:tcPr>
          <w:p w14:paraId="29CA038D" w14:textId="77777777" w:rsidR="00701EA7" w:rsidRDefault="007D7FDA">
            <w:r>
              <w:rPr>
                <w:rFonts w:ascii="Aptos" w:eastAsia="Aptos" w:hAnsi="Aptos" w:cs="Aptos"/>
                <w:color w:val="7C7C81"/>
              </w:rPr>
              <w:t>Minimum 45 days before the first dismissal takes effect</w:t>
            </w:r>
          </w:p>
        </w:tc>
        <w:tc>
          <w:tcPr>
            <w:tcW w:w="1700" w:type="pct"/>
            <w:tcMar>
              <w:top w:w="110" w:type="dxa"/>
              <w:left w:w="120" w:type="dxa"/>
              <w:bottom w:w="110" w:type="dxa"/>
              <w:right w:w="120" w:type="dxa"/>
            </w:tcMar>
          </w:tcPr>
          <w:p w14:paraId="29CA038E" w14:textId="77777777" w:rsidR="00701EA7" w:rsidRDefault="007D7FDA">
            <w:r>
              <w:rPr>
                <w:rFonts w:ascii="Aptos" w:eastAsia="Aptos" w:hAnsi="Aptos" w:cs="Aptos"/>
                <w:color w:val="7C7C81"/>
              </w:rPr>
              <w:t>Must notify before consultation begins</w:t>
            </w:r>
          </w:p>
        </w:tc>
      </w:tr>
    </w:tbl>
    <w:p w14:paraId="29CA0390" w14:textId="77777777" w:rsidR="00701EA7" w:rsidRDefault="007D7FDA">
      <w:pPr>
        <w:spacing w:after="160" w:line="264" w:lineRule="auto"/>
      </w:pPr>
      <w:r>
        <w:rPr>
          <w:rFonts w:ascii="Aptos" w:eastAsia="Aptos" w:hAnsi="Aptos" w:cs="Aptos"/>
          <w:color w:val="7C7C81"/>
        </w:rPr>
        <w:t>Collective consultation must take place with: recognised trade unions (where the organisation has one or more recognised for collective bargaining purposes); or elected employee representatives where the organisation does not have a recognised trade union in the establishment concerned. Elections for employee representatives must be conducted fairly and employees must be given a reasonable opportunity to stand and vote.</w:t>
      </w:r>
    </w:p>
    <w:p w14:paraId="29CA0391" w14:textId="38BAD624" w:rsidR="00701EA7" w:rsidRDefault="007D7FDA">
      <w:pPr>
        <w:pBdr>
          <w:left w:val="single" w:sz="18" w:space="10" w:color="DF5F4D"/>
        </w:pBdr>
        <w:spacing w:line="264" w:lineRule="auto"/>
        <w:ind w:left="260"/>
        <w:rPr>
          <w:rFonts w:ascii="Aptos" w:eastAsia="Aptos" w:hAnsi="Aptos" w:cs="Aptos"/>
          <w:color w:val="7C7C81"/>
        </w:rPr>
      </w:pPr>
      <w:r>
        <w:rPr>
          <w:rFonts w:ascii="Aptos" w:eastAsia="Aptos" w:hAnsi="Aptos" w:cs="Aptos"/>
          <w:color w:val="7C7C81"/>
        </w:rPr>
        <w:t>Failure to comply with collective consultation obligations - including failure to consult for the minimum period or failure to notify the Secretary of State - may result in a protective award of up to 90 days' actual pay</w:t>
      </w:r>
      <w:r w:rsidR="00866566">
        <w:rPr>
          <w:rFonts w:ascii="Aptos" w:eastAsia="Aptos" w:hAnsi="Aptos" w:cs="Aptos"/>
          <w:color w:val="7C7C81"/>
        </w:rPr>
        <w:t xml:space="preserve"> </w:t>
      </w:r>
      <w:r>
        <w:rPr>
          <w:rFonts w:ascii="Aptos" w:eastAsia="Aptos" w:hAnsi="Aptos" w:cs="Aptos"/>
          <w:color w:val="7C7C81"/>
        </w:rPr>
        <w:t>per affected employee, even if each individual dismissal was otherwise fair. The financial exposure is significant. Always take legal advice where collective redundancies are proposed.</w:t>
      </w:r>
    </w:p>
    <w:p w14:paraId="3361A4BE" w14:textId="77777777" w:rsidR="008964B1" w:rsidRDefault="008964B1">
      <w:pPr>
        <w:pBdr>
          <w:left w:val="single" w:sz="18" w:space="10" w:color="DF5F4D"/>
        </w:pBdr>
        <w:spacing w:line="264" w:lineRule="auto"/>
        <w:ind w:left="260"/>
      </w:pPr>
    </w:p>
    <w:p w14:paraId="29CA0392" w14:textId="4875AEE8" w:rsidR="00701EA7" w:rsidRDefault="007D7FDA">
      <w:pPr>
        <w:pBdr>
          <w:left w:val="single" w:sz="18" w:space="10" w:color="DF5F4D"/>
        </w:pBdr>
        <w:spacing w:line="264" w:lineRule="auto"/>
        <w:ind w:left="260"/>
      </w:pPr>
      <w:r>
        <w:rPr>
          <w:rFonts w:ascii="Aptos" w:eastAsia="Aptos" w:hAnsi="Aptos" w:cs="Aptos"/>
          <w:color w:val="7C7C81"/>
        </w:rPr>
        <w:t>The duty to consult collectively is triggered by proposals - not by a final decision. The moment the organisation is genuinely proposing redundancies (even if it has not yet made a final decision), the collective consultation clock starts. Do not delay.</w:t>
      </w:r>
    </w:p>
    <w:p w14:paraId="3DB63EBE" w14:textId="77777777" w:rsidR="008964B1" w:rsidRDefault="008964B1" w:rsidP="008964B1">
      <w:pPr>
        <w:rPr>
          <w:rFonts w:ascii="Aptos" w:eastAsia="Aptos" w:hAnsi="Aptos" w:cs="Aptos"/>
          <w:color w:val="DF5F4D"/>
        </w:rPr>
      </w:pPr>
    </w:p>
    <w:p w14:paraId="6AA12A6B" w14:textId="77777777" w:rsidR="00A169E0" w:rsidRDefault="00A169E0">
      <w:pPr>
        <w:rPr>
          <w:rFonts w:ascii="Aptos" w:eastAsia="Aptos" w:hAnsi="Aptos" w:cs="Aptos"/>
          <w:color w:val="DF5F4D"/>
        </w:rPr>
      </w:pPr>
      <w:r>
        <w:rPr>
          <w:rFonts w:ascii="Aptos" w:eastAsia="Aptos" w:hAnsi="Aptos" w:cs="Aptos"/>
          <w:color w:val="DF5F4D"/>
        </w:rPr>
        <w:br w:type="page"/>
      </w:r>
    </w:p>
    <w:p w14:paraId="29CA0393" w14:textId="2D6A85F1" w:rsidR="00701EA7" w:rsidRPr="008964B1" w:rsidRDefault="007D7FDA" w:rsidP="008964B1">
      <w:pPr>
        <w:rPr>
          <w:rFonts w:ascii="Aptos" w:eastAsia="Aptos" w:hAnsi="Aptos" w:cs="Aptos"/>
          <w:color w:val="DF5F4D"/>
        </w:rPr>
      </w:pPr>
      <w:r>
        <w:rPr>
          <w:rFonts w:ascii="Aptos" w:eastAsia="Aptos" w:hAnsi="Aptos" w:cs="Aptos"/>
          <w:color w:val="DF5F4D"/>
        </w:rPr>
        <w:lastRenderedPageBreak/>
        <w:t xml:space="preserve">▪ </w:t>
      </w:r>
      <w:r>
        <w:rPr>
          <w:rFonts w:ascii="Aptos" w:eastAsia="Aptos" w:hAnsi="Aptos" w:cs="Aptos"/>
          <w:b/>
          <w:bCs/>
          <w:color w:val="7C7C81"/>
        </w:rPr>
        <w:t>What Consultation Must Cover</w:t>
      </w:r>
    </w:p>
    <w:p w14:paraId="29CA0394" w14:textId="77777777" w:rsidR="00701EA7" w:rsidRDefault="007D7FDA">
      <w:pPr>
        <w:spacing w:after="160" w:line="264" w:lineRule="auto"/>
      </w:pPr>
      <w:r>
        <w:rPr>
          <w:rFonts w:ascii="Aptos" w:eastAsia="Aptos" w:hAnsi="Aptos" w:cs="Aptos"/>
          <w:color w:val="7C7C81"/>
        </w:rPr>
        <w:t>Consultation must cover the following matters - these must be disclosed to representatives or, where there are no representatives, to affected employees directly:</w:t>
      </w:r>
    </w:p>
    <w:p w14:paraId="29CA0395" w14:textId="0E97021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reasons for the proposed redundancies</w:t>
      </w:r>
    </w:p>
    <w:p w14:paraId="29CA0396" w14:textId="40BE8C2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number and descriptions of employees proposed to be dismissed as redundant</w:t>
      </w:r>
    </w:p>
    <w:p w14:paraId="29CA0397" w14:textId="2C0B2D9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total number of employees of those descriptions employed at the establishment in question</w:t>
      </w:r>
    </w:p>
    <w:p w14:paraId="29CA0398" w14:textId="4B057A19"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proposed selection method and selection criteria to be used</w:t>
      </w:r>
    </w:p>
    <w:p w14:paraId="29CA0399" w14:textId="6236EE19"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procedure proposed and the period over which dismissals are expected to take effect</w:t>
      </w:r>
    </w:p>
    <w:p w14:paraId="29CA039A" w14:textId="276CB99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proposed method of calculating any redundancy payments beyond the statutory minimum (if applicable)</w:t>
      </w:r>
    </w:p>
    <w:p w14:paraId="29CA039B" w14:textId="7E04DF01" w:rsidR="00701EA7" w:rsidRPr="00A169E0" w:rsidRDefault="00A169E0" w:rsidP="00A169E0">
      <w:pPr>
        <w:rPr>
          <w:rFonts w:ascii="Aptos" w:eastAsia="Aptos" w:hAnsi="Aptos" w:cs="Aptos"/>
          <w:b/>
          <w:bCs/>
          <w:color w:val="DF5F4D"/>
          <w:spacing w:val="12"/>
        </w:rPr>
      </w:pPr>
      <w:r>
        <w:rPr>
          <w:rFonts w:ascii="Aptos" w:eastAsia="Aptos" w:hAnsi="Aptos" w:cs="Aptos"/>
          <w:b/>
          <w:bCs/>
          <w:color w:val="DF5F4D"/>
          <w:spacing w:val="12"/>
        </w:rPr>
        <w:br/>
      </w:r>
      <w:r w:rsidR="007D7FDA">
        <w:rPr>
          <w:rFonts w:ascii="Aptos" w:eastAsia="Aptos" w:hAnsi="Aptos" w:cs="Aptos"/>
          <w:b/>
          <w:bCs/>
          <w:color w:val="DF5F4D"/>
          <w:spacing w:val="12"/>
        </w:rPr>
        <w:t xml:space="preserve">STAGE 4   </w:t>
      </w:r>
      <w:r w:rsidR="007D7FDA">
        <w:rPr>
          <w:rFonts w:ascii="Aptos" w:eastAsia="Aptos" w:hAnsi="Aptos" w:cs="Aptos"/>
          <w:b/>
          <w:bCs/>
          <w:color w:val="7C7C81"/>
        </w:rPr>
        <w:t>Selection Criteria and Scoring</w:t>
      </w:r>
    </w:p>
    <w:p w14:paraId="29CA039C" w14:textId="77777777" w:rsidR="00701EA7" w:rsidRDefault="007D7FDA">
      <w:pPr>
        <w:spacing w:before="150" w:after="160" w:line="264" w:lineRule="auto"/>
      </w:pPr>
      <w:r>
        <w:rPr>
          <w:rFonts w:ascii="Aptos" w:eastAsia="Aptos" w:hAnsi="Aptos" w:cs="Aptos"/>
          <w:color w:val="7C7C81"/>
        </w:rPr>
        <w:t>Where there are more employees in the defined pool than remaining positions, selection criteria must be applied objectively, consistently and fairly. Selection criteria must be agreed with HR before application and must not be discriminatory.</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814"/>
        <w:gridCol w:w="4814"/>
      </w:tblGrid>
      <w:tr w:rsidR="00701EA7" w:rsidRPr="008D0843" w14:paraId="29CA039F" w14:textId="77777777" w:rsidTr="00866566">
        <w:trPr>
          <w:cantSplit/>
          <w:tblHeader/>
        </w:trPr>
        <w:tc>
          <w:tcPr>
            <w:tcW w:w="2500" w:type="pct"/>
            <w:shd w:val="clear" w:color="auto" w:fill="DF5F4D"/>
            <w:tcMar>
              <w:top w:w="90" w:type="dxa"/>
              <w:left w:w="0" w:type="dxa"/>
              <w:bottom w:w="90" w:type="dxa"/>
              <w:right w:w="120" w:type="dxa"/>
            </w:tcMar>
          </w:tcPr>
          <w:p w14:paraId="29CA039D" w14:textId="77777777" w:rsidR="00701EA7" w:rsidRPr="008D0843" w:rsidRDefault="007D7FDA" w:rsidP="00866566">
            <w:pPr>
              <w:jc w:val="center"/>
              <w:rPr>
                <w:color w:val="FFFFFF" w:themeColor="background1"/>
              </w:rPr>
            </w:pPr>
            <w:r w:rsidRPr="008D0843">
              <w:rPr>
                <w:rFonts w:ascii="Aptos" w:eastAsia="Aptos" w:hAnsi="Aptos" w:cs="Aptos"/>
                <w:b/>
                <w:bCs/>
                <w:color w:val="FFFFFF" w:themeColor="background1"/>
                <w:spacing w:val="6"/>
              </w:rPr>
              <w:t>POTENTIALLY ACCEPTABLE CRITERIA</w:t>
            </w:r>
          </w:p>
        </w:tc>
        <w:tc>
          <w:tcPr>
            <w:tcW w:w="2500" w:type="pct"/>
            <w:shd w:val="clear" w:color="auto" w:fill="DF5F4D"/>
            <w:tcMar>
              <w:top w:w="90" w:type="dxa"/>
              <w:left w:w="120" w:type="dxa"/>
              <w:bottom w:w="90" w:type="dxa"/>
              <w:right w:w="120" w:type="dxa"/>
            </w:tcMar>
          </w:tcPr>
          <w:p w14:paraId="29CA039E" w14:textId="77777777" w:rsidR="00701EA7" w:rsidRPr="008D0843" w:rsidRDefault="007D7FDA" w:rsidP="00866566">
            <w:pPr>
              <w:jc w:val="center"/>
              <w:rPr>
                <w:color w:val="FFFFFF" w:themeColor="background1"/>
              </w:rPr>
            </w:pPr>
            <w:r w:rsidRPr="008D0843">
              <w:rPr>
                <w:rFonts w:ascii="Aptos" w:eastAsia="Aptos" w:hAnsi="Aptos" w:cs="Aptos"/>
                <w:b/>
                <w:bCs/>
                <w:color w:val="FFFFFF" w:themeColor="background1"/>
                <w:spacing w:val="6"/>
              </w:rPr>
              <w:t>CRITERIA THAT MUST NEVER BE USED</w:t>
            </w:r>
          </w:p>
        </w:tc>
      </w:tr>
      <w:tr w:rsidR="00701EA7" w14:paraId="29CA03B2" w14:textId="77777777" w:rsidTr="00866566">
        <w:trPr>
          <w:cantSplit/>
        </w:trPr>
        <w:tc>
          <w:tcPr>
            <w:tcW w:w="2500" w:type="pct"/>
            <w:tcMar>
              <w:top w:w="110" w:type="dxa"/>
              <w:left w:w="0" w:type="dxa"/>
              <w:bottom w:w="110" w:type="dxa"/>
              <w:right w:w="120" w:type="dxa"/>
            </w:tcMar>
          </w:tcPr>
          <w:p w14:paraId="29CA03A0" w14:textId="74A136EB" w:rsidR="00701EA7" w:rsidRPr="007033A3" w:rsidRDefault="005320D0">
            <w:pPr>
              <w:spacing w:after="40"/>
            </w:pPr>
            <w:r w:rsidRPr="00866566">
              <w:rPr>
                <w:rFonts w:ascii="Aptos" w:eastAsia="Aptos" w:hAnsi="Aptos" w:cs="Aptos"/>
                <w:b/>
                <w:bCs/>
                <w:color w:val="DF5F4D"/>
              </w:rPr>
              <w:sym w:font="Wingdings" w:char="F0FC"/>
            </w:r>
            <w:r w:rsidR="003D6BC2">
              <w:rPr>
                <w:rFonts w:ascii="Aptos" w:eastAsia="Aptos" w:hAnsi="Aptos" w:cs="Aptos"/>
                <w:color w:val="7C7C81"/>
              </w:rPr>
              <w:t xml:space="preserve"> </w:t>
            </w:r>
            <w:r w:rsidR="007D7FDA" w:rsidRPr="007033A3">
              <w:rPr>
                <w:rFonts w:ascii="Aptos" w:eastAsia="Aptos" w:hAnsi="Aptos" w:cs="Aptos"/>
                <w:color w:val="7C7C81"/>
              </w:rPr>
              <w:t>Skills, qualifications and competencies required for the remaining roles</w:t>
            </w:r>
          </w:p>
          <w:p w14:paraId="29CA03A1" w14:textId="7EA464C6" w:rsidR="00701EA7" w:rsidRPr="007033A3" w:rsidRDefault="005320D0">
            <w:pPr>
              <w:spacing w:after="40"/>
            </w:pPr>
            <w:r w:rsidRPr="00866566">
              <w:rPr>
                <w:rFonts w:ascii="Aptos" w:eastAsia="Aptos" w:hAnsi="Aptos" w:cs="Aptos"/>
                <w:b/>
                <w:bCs/>
                <w:color w:val="DF5F4D"/>
              </w:rPr>
              <w:sym w:font="Wingdings" w:char="F0FC"/>
            </w:r>
            <w:r w:rsidR="007D7FDA" w:rsidRPr="007033A3">
              <w:rPr>
                <w:rFonts w:ascii="Aptos" w:eastAsia="Aptos" w:hAnsi="Aptos" w:cs="Aptos"/>
                <w:color w:val="7C7C81"/>
              </w:rPr>
              <w:t xml:space="preserve"> Experience and performance record - based on objective, documented evidence</w:t>
            </w:r>
          </w:p>
          <w:p w14:paraId="29CA03A2" w14:textId="366E7C34" w:rsidR="00701EA7" w:rsidRPr="007033A3" w:rsidRDefault="005320D0">
            <w:pPr>
              <w:spacing w:after="40"/>
            </w:pPr>
            <w:r w:rsidRPr="00866566">
              <w:rPr>
                <w:rFonts w:ascii="Aptos" w:eastAsia="Aptos" w:hAnsi="Aptos" w:cs="Aptos"/>
                <w:b/>
                <w:bCs/>
                <w:color w:val="DF5F4D"/>
              </w:rPr>
              <w:sym w:font="Wingdings" w:char="F0FC"/>
            </w:r>
            <w:r w:rsidR="007D7FDA" w:rsidRPr="007033A3">
              <w:rPr>
                <w:rFonts w:ascii="Aptos" w:eastAsia="Aptos" w:hAnsi="Aptos" w:cs="Aptos"/>
                <w:color w:val="7C7C81"/>
              </w:rPr>
              <w:t xml:space="preserve"> Attendance record - excluding absences related to disability, pregnancy or other protected characteristics</w:t>
            </w:r>
          </w:p>
          <w:p w14:paraId="29CA03A3" w14:textId="557F59C4" w:rsidR="00701EA7" w:rsidRPr="007033A3" w:rsidRDefault="005320D0">
            <w:pPr>
              <w:spacing w:after="40"/>
            </w:pPr>
            <w:r w:rsidRPr="00866566">
              <w:rPr>
                <w:rFonts w:ascii="Aptos" w:eastAsia="Aptos" w:hAnsi="Aptos" w:cs="Aptos"/>
                <w:b/>
                <w:bCs/>
                <w:color w:val="DF5F4D"/>
              </w:rPr>
              <w:sym w:font="Wingdings" w:char="F0FC"/>
            </w:r>
            <w:r w:rsidR="007D7FDA" w:rsidRPr="005320D0">
              <w:rPr>
                <w:rFonts w:ascii="Aptos" w:eastAsia="Aptos" w:hAnsi="Aptos" w:cs="Aptos"/>
                <w:b/>
                <w:bCs/>
                <w:color w:val="7C7C81"/>
              </w:rPr>
              <w:t xml:space="preserve"> </w:t>
            </w:r>
            <w:r w:rsidR="007D7FDA" w:rsidRPr="007033A3">
              <w:rPr>
                <w:rFonts w:ascii="Aptos" w:eastAsia="Aptos" w:hAnsi="Aptos" w:cs="Aptos"/>
                <w:color w:val="7C7C81"/>
              </w:rPr>
              <w:t>Disciplinary record - excluding spent disciplinary sanctions</w:t>
            </w:r>
          </w:p>
          <w:p w14:paraId="29CA03A4" w14:textId="4D644CF3" w:rsidR="00701EA7" w:rsidRPr="007033A3" w:rsidRDefault="005320D0">
            <w:pPr>
              <w:spacing w:after="40"/>
            </w:pPr>
            <w:r w:rsidRPr="00866566">
              <w:rPr>
                <w:rFonts w:ascii="Aptos" w:eastAsia="Aptos" w:hAnsi="Aptos" w:cs="Aptos"/>
                <w:b/>
                <w:bCs/>
                <w:color w:val="DF5F4D"/>
              </w:rPr>
              <w:sym w:font="Wingdings" w:char="F0FC"/>
            </w:r>
            <w:r w:rsidR="007D7FDA" w:rsidRPr="00866566">
              <w:rPr>
                <w:rFonts w:ascii="Aptos" w:eastAsia="Aptos" w:hAnsi="Aptos" w:cs="Aptos"/>
                <w:color w:val="DF5F4D"/>
              </w:rPr>
              <w:t xml:space="preserve"> </w:t>
            </w:r>
            <w:r w:rsidR="007D7FDA" w:rsidRPr="007033A3">
              <w:rPr>
                <w:rFonts w:ascii="Aptos" w:eastAsia="Aptos" w:hAnsi="Aptos" w:cs="Aptos"/>
                <w:color w:val="7C7C81"/>
              </w:rPr>
              <w:t>Breadth and flexibility of skills across functions or tasks</w:t>
            </w:r>
          </w:p>
          <w:p w14:paraId="29CA03A5" w14:textId="4ED3DD1D" w:rsidR="00701EA7" w:rsidRPr="007033A3" w:rsidRDefault="005320D0">
            <w:pPr>
              <w:spacing w:after="40"/>
            </w:pPr>
            <w:r w:rsidRPr="00866566">
              <w:rPr>
                <w:rFonts w:ascii="Aptos" w:eastAsia="Aptos" w:hAnsi="Aptos" w:cs="Aptos"/>
                <w:b/>
                <w:bCs/>
                <w:color w:val="DF5F4D"/>
              </w:rPr>
              <w:sym w:font="Wingdings" w:char="F0FC"/>
            </w:r>
            <w:r w:rsidR="007D7FDA" w:rsidRPr="007033A3">
              <w:rPr>
                <w:rFonts w:ascii="Aptos" w:eastAsia="Aptos" w:hAnsi="Aptos" w:cs="Aptos"/>
                <w:color w:val="7C7C81"/>
              </w:rPr>
              <w:t xml:space="preserve"> Length of service - may be used as a secondary criterion only, not as the primary basis for selection (note: sole reliance on LIFO may constitute indirect age discrimination)</w:t>
            </w:r>
          </w:p>
          <w:p w14:paraId="29CA03A6" w14:textId="31A0A885" w:rsidR="00701EA7" w:rsidRPr="007033A3" w:rsidRDefault="005320D0">
            <w:pPr>
              <w:spacing w:after="40"/>
            </w:pPr>
            <w:r w:rsidRPr="00866566">
              <w:rPr>
                <w:rFonts w:ascii="Aptos" w:eastAsia="Aptos" w:hAnsi="Aptos" w:cs="Aptos"/>
                <w:b/>
                <w:bCs/>
                <w:color w:val="DF5F4D"/>
              </w:rPr>
              <w:sym w:font="Wingdings" w:char="F0FC"/>
            </w:r>
            <w:r w:rsidR="007D7FDA" w:rsidRPr="007033A3">
              <w:rPr>
                <w:rFonts w:ascii="Aptos" w:eastAsia="Aptos" w:hAnsi="Aptos" w:cs="Aptos"/>
                <w:color w:val="7C7C81"/>
              </w:rPr>
              <w:t xml:space="preserve"> Specific expertise or knowledge critical to future business needs</w:t>
            </w:r>
          </w:p>
          <w:p w14:paraId="29CA03A7" w14:textId="6D462C32" w:rsidR="00701EA7" w:rsidRDefault="005320D0">
            <w:r w:rsidRPr="00866566">
              <w:rPr>
                <w:rFonts w:ascii="Aptos" w:eastAsia="Aptos" w:hAnsi="Aptos" w:cs="Aptos"/>
                <w:b/>
                <w:bCs/>
                <w:color w:val="DF5F4D"/>
              </w:rPr>
              <w:sym w:font="Wingdings" w:char="F0FC"/>
            </w:r>
            <w:r w:rsidR="007D7FDA" w:rsidRPr="007033A3">
              <w:rPr>
                <w:rFonts w:ascii="Aptos" w:eastAsia="Aptos" w:hAnsi="Aptos" w:cs="Aptos"/>
                <w:color w:val="7C7C81"/>
              </w:rPr>
              <w:t xml:space="preserve"> Any other objective, documented and consistently applied criterion agreed with HR in advance</w:t>
            </w:r>
          </w:p>
        </w:tc>
        <w:tc>
          <w:tcPr>
            <w:tcW w:w="2500" w:type="pct"/>
            <w:tcMar>
              <w:top w:w="110" w:type="dxa"/>
              <w:left w:w="120" w:type="dxa"/>
              <w:bottom w:w="110" w:type="dxa"/>
              <w:right w:w="120" w:type="dxa"/>
            </w:tcMar>
          </w:tcPr>
          <w:p w14:paraId="29CA03A8"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Pregnancy, maternity leave or any other form of family leave</w:t>
            </w:r>
          </w:p>
          <w:p w14:paraId="29CA03A9"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Sex, gender or gender reassignment</w:t>
            </w:r>
          </w:p>
          <w:p w14:paraId="29CA03AA"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Race, ethnicity or national origin</w:t>
            </w:r>
          </w:p>
          <w:p w14:paraId="29CA03AB"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Disability or health condition - including mental health</w:t>
            </w:r>
          </w:p>
          <w:p w14:paraId="29CA03AC"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Age (other than as a secondary factor - and even then only with care)</w:t>
            </w:r>
          </w:p>
          <w:p w14:paraId="29CA03AD"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Religion or belief</w:t>
            </w:r>
          </w:p>
          <w:p w14:paraId="29CA03AE"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Sexual orientation</w:t>
            </w:r>
          </w:p>
          <w:p w14:paraId="29CA03AF"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Part-time working status or fixed-term contract status</w:t>
            </w:r>
          </w:p>
          <w:p w14:paraId="29CA03B0" w14:textId="77777777" w:rsidR="00701EA7" w:rsidRDefault="007D7FDA">
            <w:pPr>
              <w:spacing w:after="40"/>
            </w:pPr>
            <w:r w:rsidRPr="00866566">
              <w:rPr>
                <w:rFonts w:ascii="Aptos" w:eastAsia="Aptos" w:hAnsi="Aptos" w:cs="Aptos"/>
                <w:color w:val="DF5F4D"/>
              </w:rPr>
              <w:t xml:space="preserve">✖ </w:t>
            </w:r>
            <w:r>
              <w:rPr>
                <w:rFonts w:ascii="Aptos" w:eastAsia="Aptos" w:hAnsi="Aptos" w:cs="Aptos"/>
                <w:color w:val="7C7C81"/>
              </w:rPr>
              <w:t>Trade union membership or activities</w:t>
            </w:r>
          </w:p>
          <w:p w14:paraId="29CA03B1" w14:textId="77777777" w:rsidR="00701EA7" w:rsidRDefault="007D7FDA">
            <w:r w:rsidRPr="00866566">
              <w:rPr>
                <w:rFonts w:ascii="Aptos" w:eastAsia="Aptos" w:hAnsi="Aptos" w:cs="Aptos"/>
                <w:color w:val="DF5F4D"/>
              </w:rPr>
              <w:t xml:space="preserve">✖ </w:t>
            </w:r>
            <w:r>
              <w:rPr>
                <w:rFonts w:ascii="Aptos" w:eastAsia="Aptos" w:hAnsi="Aptos" w:cs="Aptos"/>
                <w:color w:val="7C7C81"/>
              </w:rPr>
              <w:t>Having raised a grievance, whistleblowing disclosure or discrimination complaint</w:t>
            </w:r>
          </w:p>
        </w:tc>
      </w:tr>
    </w:tbl>
    <w:p w14:paraId="66B3697C" w14:textId="611B1CCA" w:rsidR="005320D0" w:rsidRDefault="00866566" w:rsidP="008D0843">
      <w:pPr>
        <w:spacing w:after="160" w:line="264" w:lineRule="auto"/>
        <w:rPr>
          <w:rFonts w:ascii="Aptos" w:eastAsia="Aptos" w:hAnsi="Aptos" w:cs="Aptos"/>
          <w:color w:val="7C7C81"/>
        </w:rPr>
      </w:pPr>
      <w:r>
        <w:rPr>
          <w:rFonts w:ascii="Aptos" w:eastAsia="Aptos" w:hAnsi="Aptos" w:cs="Aptos"/>
          <w:color w:val="7C7C81"/>
        </w:rPr>
        <w:br/>
      </w:r>
      <w:r w:rsidR="007D7FDA">
        <w:rPr>
          <w:rFonts w:ascii="Aptos" w:eastAsia="Aptos" w:hAnsi="Aptos" w:cs="Aptos"/>
          <w:color w:val="7C7C81"/>
        </w:rPr>
        <w:t>Prior to confirming any redundancy selection outcomes, the organisation will consider whether the proposed selection results have a disproportionate impact on any protected group and whether any mitigating action is required.</w:t>
      </w:r>
      <w:r w:rsidR="00A169E0">
        <w:rPr>
          <w:rFonts w:ascii="Aptos" w:eastAsia="Aptos" w:hAnsi="Aptos" w:cs="Aptos"/>
          <w:color w:val="7C7C81"/>
        </w:rPr>
        <w:t xml:space="preserve">  </w:t>
      </w:r>
      <w:r w:rsidR="007D7FDA">
        <w:rPr>
          <w:rFonts w:ascii="Aptos" w:eastAsia="Aptos" w:hAnsi="Aptos" w:cs="Aptos"/>
          <w:color w:val="7C7C81"/>
        </w:rPr>
        <w:t>Each criterion must be capable of objective assessment, ideally by reference to existing documentation and evidence. Criteria should be weighted to reflect their relative importance to the business. At least two managers should independently score each employee against the criteria before comparing and agreeing scores.</w:t>
      </w:r>
      <w:r w:rsidR="00A169E0">
        <w:rPr>
          <w:rFonts w:ascii="Aptos" w:eastAsia="Aptos" w:hAnsi="Aptos" w:cs="Aptos"/>
          <w:color w:val="7C7C81"/>
        </w:rPr>
        <w:t xml:space="preserve">  </w:t>
      </w:r>
      <w:r w:rsidR="007D7FDA">
        <w:rPr>
          <w:rFonts w:ascii="Aptos" w:eastAsia="Aptos" w:hAnsi="Aptos" w:cs="Aptos"/>
          <w:color w:val="7C7C81"/>
        </w:rPr>
        <w:t>Employees must be informed of the selection criteria before they are applied and given the opportunity to comment on them during individual consultation. Scores must be documented and retained, as they may be subject to scrutiny in Employment Tribunal proceedings.</w:t>
      </w:r>
    </w:p>
    <w:p w14:paraId="29CA03B6" w14:textId="381A5ECB" w:rsidR="00701EA7" w:rsidRDefault="007D7FDA">
      <w:pPr>
        <w:pBdr>
          <w:left w:val="single" w:sz="18" w:space="10" w:color="DF5F4D"/>
        </w:pBdr>
        <w:spacing w:line="264" w:lineRule="auto"/>
        <w:ind w:left="260"/>
      </w:pPr>
      <w:r>
        <w:rPr>
          <w:rFonts w:ascii="Aptos" w:eastAsia="Aptos" w:hAnsi="Aptos" w:cs="Aptos"/>
          <w:color w:val="7C7C81"/>
        </w:rPr>
        <w:t>Last In, First Out (LIFO) - using length of service as the sole selection criterion - is now generally regarded as carrying a significant risk of indirect age discrimination under the Equality Act 2010. Length of service may be used as one of several criteria, but must not be the only one. Take HR advice before including length of service as a criterion.</w:t>
      </w:r>
    </w:p>
    <w:p w14:paraId="2A3324B8" w14:textId="77777777" w:rsidR="008D0843" w:rsidRDefault="008D0843">
      <w:pPr>
        <w:rPr>
          <w:rFonts w:ascii="Aptos" w:eastAsia="Aptos" w:hAnsi="Aptos" w:cs="Aptos"/>
          <w:b/>
          <w:bCs/>
          <w:color w:val="DF5F4D"/>
          <w:spacing w:val="12"/>
        </w:rPr>
      </w:pPr>
      <w:r>
        <w:rPr>
          <w:rFonts w:ascii="Aptos" w:eastAsia="Aptos" w:hAnsi="Aptos" w:cs="Aptos"/>
          <w:b/>
          <w:bCs/>
          <w:color w:val="DF5F4D"/>
          <w:spacing w:val="12"/>
        </w:rPr>
        <w:lastRenderedPageBreak/>
        <w:br w:type="page"/>
      </w:r>
    </w:p>
    <w:p w14:paraId="29CA03B7" w14:textId="0DB314D7" w:rsidR="00701EA7" w:rsidRDefault="007D7FDA">
      <w:pPr>
        <w:keepNext/>
        <w:keepLines/>
        <w:pBdr>
          <w:bottom w:val="single" w:sz="4" w:space="6" w:color="E1E0DE"/>
        </w:pBdr>
        <w:spacing w:before="260" w:after="100"/>
      </w:pPr>
      <w:r>
        <w:rPr>
          <w:rFonts w:ascii="Aptos" w:eastAsia="Aptos" w:hAnsi="Aptos" w:cs="Aptos"/>
          <w:b/>
          <w:bCs/>
          <w:color w:val="DF5F4D"/>
          <w:spacing w:val="12"/>
        </w:rPr>
        <w:lastRenderedPageBreak/>
        <w:t xml:space="preserve">STAGE 5   </w:t>
      </w:r>
      <w:r>
        <w:rPr>
          <w:rFonts w:ascii="Aptos" w:eastAsia="Aptos" w:hAnsi="Aptos" w:cs="Aptos"/>
          <w:b/>
          <w:bCs/>
          <w:color w:val="7C7C81"/>
        </w:rPr>
        <w:t>The At-Risk Notification Meeting</w:t>
      </w:r>
    </w:p>
    <w:p w14:paraId="29CA03B8" w14:textId="77777777" w:rsidR="00701EA7" w:rsidRDefault="007D7FDA">
      <w:pPr>
        <w:spacing w:after="160" w:line="264" w:lineRule="auto"/>
      </w:pPr>
      <w:r>
        <w:rPr>
          <w:rFonts w:ascii="Aptos" w:eastAsia="Aptos" w:hAnsi="Aptos" w:cs="Aptos"/>
          <w:color w:val="7C7C81"/>
        </w:rPr>
        <w:t>The at-risk notification meeting is the first formal meeting with affected employees and must be handled with sensitivity, clarity and honesty. The purpose of this meeting is to inform - not to confirm a final decision.</w:t>
      </w:r>
    </w:p>
    <w:p w14:paraId="29CA03B9" w14:textId="27310C6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meeting must be held individually with each employee in the pool</w:t>
      </w:r>
      <w:r w:rsidR="005632FD">
        <w:rPr>
          <w:rFonts w:ascii="Aptos" w:eastAsia="Aptos" w:hAnsi="Aptos" w:cs="Aptos"/>
          <w:color w:val="7C7C81"/>
        </w:rPr>
        <w:t xml:space="preserve">, </w:t>
      </w:r>
      <w:r w:rsidR="007D7FDA">
        <w:rPr>
          <w:rFonts w:ascii="Aptos" w:eastAsia="Aptos" w:hAnsi="Aptos" w:cs="Aptos"/>
          <w:color w:val="7C7C81"/>
        </w:rPr>
        <w:t>not notify employees in a group setting</w:t>
      </w:r>
    </w:p>
    <w:p w14:paraId="29CA03BA" w14:textId="39E2FEF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employee has the right to be accompanied by a work colleague or trade union representative - ensure this is communicated in the written invitation</w:t>
      </w:r>
    </w:p>
    <w:p w14:paraId="29CA03BB" w14:textId="7D017A9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Provide at least [e.g. five working days'] written notice of the meeting, setting out its purpose</w:t>
      </w:r>
    </w:p>
    <w:p w14:paraId="29CA03BC" w14:textId="12BA301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At the meeting, explain clearly: the business reason; why the employee's role is at risk; the proposed selection process; the provisional timetable; and what happens next</w:t>
      </w:r>
    </w:p>
    <w:p w14:paraId="29CA03BD" w14:textId="3B28646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Give the employee time to ask questions and respond - do not rush</w:t>
      </w:r>
    </w:p>
    <w:p w14:paraId="29CA03BE" w14:textId="670297A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the discussion in writing within [e.g. two working days] of the meeting</w:t>
      </w:r>
    </w:p>
    <w:p w14:paraId="29CA03BF" w14:textId="6E9C9ED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Make clear that no decision has yet been made and that consultation is ongoing</w:t>
      </w:r>
    </w:p>
    <w:p w14:paraId="29CA03C0"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t xml:space="preserve">STAGE 6   </w:t>
      </w:r>
      <w:r>
        <w:rPr>
          <w:rFonts w:ascii="Aptos" w:eastAsia="Aptos" w:hAnsi="Aptos" w:cs="Aptos"/>
          <w:b/>
          <w:bCs/>
          <w:color w:val="7C7C81"/>
        </w:rPr>
        <w:t>Subsequent Consultation Meetings</w:t>
      </w:r>
    </w:p>
    <w:p w14:paraId="29CA03C1" w14:textId="77777777" w:rsidR="00701EA7" w:rsidRDefault="007D7FDA">
      <w:pPr>
        <w:spacing w:before="150" w:after="160" w:line="264" w:lineRule="auto"/>
      </w:pPr>
      <w:r>
        <w:rPr>
          <w:rFonts w:ascii="Aptos" w:eastAsia="Aptos" w:hAnsi="Aptos" w:cs="Aptos"/>
          <w:color w:val="7C7C81"/>
        </w:rPr>
        <w:t>Following the at-risk notification meeting, one or more further individual consultation meetings should take place. The purpose of these meetings is to ensure the consultation is genuine - that the employee has had a real opportunity to influence the outcome.</w:t>
      </w:r>
    </w:p>
    <w:p w14:paraId="29CA03C2" w14:textId="70FA2AD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Discuss the employee's individual selection scores (where applicable) and give them the opportunity to challenge the scores or provide additional information</w:t>
      </w:r>
    </w:p>
    <w:p w14:paraId="29CA03C3" w14:textId="5A266B1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Genuinely consider any representations, proposals or alternatives the employee raises - and respond to them honestly and specifically</w:t>
      </w:r>
    </w:p>
    <w:p w14:paraId="29CA03C4" w14:textId="0703D3D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Discuss alternative employment within the organisation and confirm what suitable alternatives, if any, have been identified</w:t>
      </w:r>
    </w:p>
    <w:p w14:paraId="29CA03C5" w14:textId="0DC152C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Answer all questions as fully and honestly as possible - do not give false reassurance</w:t>
      </w:r>
    </w:p>
    <w:p w14:paraId="29CA03C6" w14:textId="16AF8A3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Keep a written record of every consultation meeting and share it with the employee</w:t>
      </w:r>
    </w:p>
    <w:p w14:paraId="29CA03C7"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t xml:space="preserve">STAGE 7   </w:t>
      </w:r>
      <w:r>
        <w:rPr>
          <w:rFonts w:ascii="Aptos" w:eastAsia="Aptos" w:hAnsi="Aptos" w:cs="Aptos"/>
          <w:b/>
          <w:bCs/>
          <w:color w:val="7C7C81"/>
        </w:rPr>
        <w:t>Alternative Employment</w:t>
      </w:r>
    </w:p>
    <w:p w14:paraId="29CA03C8" w14:textId="77777777" w:rsidR="00701EA7" w:rsidRDefault="007D7FDA">
      <w:pPr>
        <w:spacing w:before="150" w:after="160" w:line="264" w:lineRule="auto"/>
      </w:pPr>
      <w:r>
        <w:rPr>
          <w:rFonts w:ascii="Aptos" w:eastAsia="Aptos" w:hAnsi="Aptos" w:cs="Aptos"/>
          <w:color w:val="7C7C81"/>
        </w:rPr>
        <w:t>Throughout the redundancy process, the organisation has a duty to consider and, where possible, offer suitable alternative employment to at-risk employees. This obligation is a meaningful legal duty - it is not merely a courtesy.</w:t>
      </w:r>
    </w:p>
    <w:p w14:paraId="29CA03C9" w14:textId="0792660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organisation will identify all suitable vacancies across all its operations and present these to at-risk employees during consultation</w:t>
      </w:r>
    </w:p>
    <w:p w14:paraId="29CA03CA" w14:textId="04F58308"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vacancy need not be identical to the employee's existing role - the test is whether it is suitable in terms of pay, status, responsibilities and location</w:t>
      </w:r>
    </w:p>
    <w:p w14:paraId="29CA03CB" w14:textId="041E68E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 xml:space="preserve">The organisation is not required to create a new role, but </w:t>
      </w:r>
      <w:r w:rsidR="00B57C6D">
        <w:rPr>
          <w:rFonts w:ascii="Aptos" w:eastAsia="Aptos" w:hAnsi="Aptos" w:cs="Aptos"/>
          <w:color w:val="7C7C81"/>
        </w:rPr>
        <w:t xml:space="preserve">must </w:t>
      </w:r>
      <w:r w:rsidR="007D7FDA">
        <w:rPr>
          <w:rFonts w:ascii="Aptos" w:eastAsia="Aptos" w:hAnsi="Aptos" w:cs="Aptos"/>
          <w:color w:val="7C7C81"/>
        </w:rPr>
        <w:t>offer any existing</w:t>
      </w:r>
      <w:r w:rsidR="005632FD">
        <w:rPr>
          <w:rFonts w:ascii="Aptos" w:eastAsia="Aptos" w:hAnsi="Aptos" w:cs="Aptos"/>
          <w:color w:val="7C7C81"/>
        </w:rPr>
        <w:t xml:space="preserve">, </w:t>
      </w:r>
      <w:r w:rsidR="007D7FDA">
        <w:rPr>
          <w:rFonts w:ascii="Aptos" w:eastAsia="Aptos" w:hAnsi="Aptos" w:cs="Aptos"/>
          <w:color w:val="7C7C81"/>
        </w:rPr>
        <w:t>suitable vacancies in good faith</w:t>
      </w:r>
    </w:p>
    <w:p w14:paraId="5CE7CF46" w14:textId="77777777" w:rsidR="00B57C6D" w:rsidRDefault="00B22EAC" w:rsidP="00B57C6D">
      <w:pPr>
        <w:spacing w:line="258" w:lineRule="auto"/>
        <w:ind w:left="300" w:hanging="220"/>
        <w:rPr>
          <w:rFonts w:ascii="Aptos" w:eastAsia="Aptos" w:hAnsi="Aptos" w:cs="Aptos"/>
          <w:color w:val="7C7C81"/>
        </w:rPr>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An employee who unreasonably refuses a genuine offer of suitable alternative employment may lose their entitlement to a statutory redundancy payment</w:t>
      </w:r>
    </w:p>
    <w:p w14:paraId="5B590BCA" w14:textId="4C472DA1" w:rsidR="00B57C6D" w:rsidRPr="00B57C6D" w:rsidRDefault="00B57C6D" w:rsidP="00B57C6D">
      <w:pPr>
        <w:spacing w:line="258" w:lineRule="auto"/>
        <w:ind w:left="300" w:hanging="220"/>
        <w:rPr>
          <w:rFonts w:ascii="Aptos" w:eastAsia="Aptos" w:hAnsi="Aptos" w:cs="Aptos"/>
          <w:color w:val="7C7C81"/>
        </w:rPr>
      </w:pPr>
      <w:r>
        <w:rPr>
          <w:rFonts w:ascii="Aptos" w:eastAsia="Aptos" w:hAnsi="Aptos" w:cs="Aptos"/>
          <w:b/>
          <w:bCs/>
          <w:color w:val="DF5F4D"/>
        </w:rPr>
        <w:t xml:space="preserve">-  </w:t>
      </w:r>
      <w:r w:rsidRPr="00B57C6D">
        <w:rPr>
          <w:rFonts w:ascii="Aptos" w:eastAsia="Aptos" w:hAnsi="Aptos" w:cs="Aptos"/>
          <w:color w:val="7C7C81"/>
        </w:rPr>
        <w:t>Where appropriate, employees may express interest in more than one suitable vacancy.</w:t>
      </w:r>
    </w:p>
    <w:p w14:paraId="29CA03CD"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The Trial Period</w:t>
      </w:r>
    </w:p>
    <w:p w14:paraId="29CA03CE" w14:textId="77777777" w:rsidR="00701EA7" w:rsidRDefault="007D7FDA">
      <w:pPr>
        <w:spacing w:before="150" w:after="160" w:line="264" w:lineRule="auto"/>
      </w:pPr>
      <w:r>
        <w:rPr>
          <w:rFonts w:ascii="Aptos" w:eastAsia="Aptos" w:hAnsi="Aptos" w:cs="Aptos"/>
          <w:color w:val="7C7C81"/>
        </w:rPr>
        <w:t>Where an employee accepts an alternative role, they are entitled by law to a statutory four-week trial period in that role (under section 138 of the Employment Rights Act 1996). The trial period may be extended by agreement in writing where additional training is required. During the trial period, the employee may terminate the arrangement if the role proves unsuitable and will retain their right to a redundancy payment. The employer may also end the trial period if the employee is unsuitable.</w:t>
      </w:r>
    </w:p>
    <w:p w14:paraId="29CA03CF" w14:textId="77777777" w:rsidR="00701EA7" w:rsidRDefault="007D7FDA">
      <w:pPr>
        <w:keepNext/>
        <w:keepLines/>
        <w:pBdr>
          <w:bottom w:val="single" w:sz="4" w:space="6" w:color="E1E0DE"/>
        </w:pBdr>
        <w:spacing w:before="260" w:after="100"/>
      </w:pPr>
      <w:r>
        <w:rPr>
          <w:rFonts w:ascii="Aptos" w:eastAsia="Aptos" w:hAnsi="Aptos" w:cs="Aptos"/>
          <w:b/>
          <w:bCs/>
          <w:color w:val="DF5F4D"/>
          <w:spacing w:val="12"/>
        </w:rPr>
        <w:lastRenderedPageBreak/>
        <w:t xml:space="preserve">STAGE 8   </w:t>
      </w:r>
      <w:r>
        <w:rPr>
          <w:rFonts w:ascii="Aptos" w:eastAsia="Aptos" w:hAnsi="Aptos" w:cs="Aptos"/>
          <w:b/>
          <w:bCs/>
          <w:color w:val="7C7C81"/>
        </w:rPr>
        <w:t>Confirmation of Redundancy</w:t>
      </w:r>
    </w:p>
    <w:p w14:paraId="29CA03D0" w14:textId="77777777" w:rsidR="00701EA7" w:rsidRDefault="007D7FDA">
      <w:pPr>
        <w:spacing w:after="160" w:line="264" w:lineRule="auto"/>
      </w:pPr>
      <w:r>
        <w:rPr>
          <w:rFonts w:ascii="Aptos" w:eastAsia="Aptos" w:hAnsi="Aptos" w:cs="Aptos"/>
          <w:color w:val="7C7C81"/>
        </w:rPr>
        <w:t>Where consultation has been completed and the decision is that the employee's role is to be made redundant, the outcome must be confirmed in writing. The confirmation letter must:</w:t>
      </w:r>
    </w:p>
    <w:p w14:paraId="29CA03D1" w14:textId="14DBCF6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State clearly that the employee's role has been made redundant and give the reason</w:t>
      </w:r>
    </w:p>
    <w:p w14:paraId="29CA03D2" w14:textId="1FB85C7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the notice period and whether it will be worked or paid in lieu (PILON)</w:t>
      </w:r>
    </w:p>
    <w:p w14:paraId="29CA03D3" w14:textId="0BF796FD"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State the last day of employment</w:t>
      </w:r>
    </w:p>
    <w:p w14:paraId="29CA03D4" w14:textId="1BDAD50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the statutory redundancy payment entitlement (and any enhanced pay, if applicable)</w:t>
      </w:r>
    </w:p>
    <w:p w14:paraId="29CA03D5" w14:textId="41B5914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accrued holiday pay entitlement</w:t>
      </w:r>
    </w:p>
    <w:p w14:paraId="29CA03D6" w14:textId="1DFFF75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the right of appeal against the decision and the timescale for doing so</w:t>
      </w:r>
    </w:p>
    <w:p w14:paraId="29CA03D7" w14:textId="0F5F594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Confirm any outplacement support available</w:t>
      </w:r>
    </w:p>
    <w:p w14:paraId="29CA03D8" w14:textId="77777777" w:rsidR="00701EA7" w:rsidRDefault="007D7FDA">
      <w:pPr>
        <w:keepNext/>
        <w:keepLines/>
        <w:spacing w:before="200" w:after="40"/>
      </w:pPr>
      <w:r>
        <w:rPr>
          <w:rFonts w:ascii="Aptos" w:eastAsia="Aptos" w:hAnsi="Aptos" w:cs="Aptos"/>
          <w:b/>
          <w:bCs/>
          <w:color w:val="DF5F4D"/>
          <w:spacing w:val="20"/>
        </w:rPr>
        <w:t>SECTION 06</w:t>
      </w:r>
    </w:p>
    <w:p w14:paraId="29CA03D9" w14:textId="77777777" w:rsidR="00701EA7" w:rsidRDefault="007D7FDA">
      <w:pPr>
        <w:keepNext/>
        <w:keepLines/>
      </w:pPr>
      <w:r>
        <w:rPr>
          <w:rFonts w:ascii="Aptos" w:eastAsia="Aptos" w:hAnsi="Aptos" w:cs="Aptos"/>
          <w:b/>
          <w:bCs/>
          <w:color w:val="7C7C81"/>
          <w:sz w:val="24"/>
          <w:szCs w:val="24"/>
        </w:rPr>
        <w:t>Notice Entitlement</w:t>
      </w:r>
    </w:p>
    <w:p w14:paraId="29CA03DA" w14:textId="77777777" w:rsidR="00701EA7" w:rsidRDefault="00701EA7">
      <w:pPr>
        <w:keepNext/>
        <w:pBdr>
          <w:bottom w:val="single" w:sz="6" w:space="1" w:color="B9B8B9"/>
        </w:pBdr>
        <w:spacing w:after="120"/>
      </w:pPr>
    </w:p>
    <w:p w14:paraId="29CA03DB" w14:textId="77777777" w:rsidR="00701EA7" w:rsidRDefault="007D7FDA">
      <w:pPr>
        <w:spacing w:before="150" w:after="160" w:line="264" w:lineRule="auto"/>
      </w:pPr>
      <w:r>
        <w:rPr>
          <w:rFonts w:ascii="Aptos" w:eastAsia="Aptos" w:hAnsi="Aptos" w:cs="Aptos"/>
          <w:color w:val="7C7C81"/>
        </w:rPr>
        <w:t>An employee selected for redundancy is entitled to their contractual notice period (as set out in their contract of employment) or the statutory minimum notice period under the Employment Rights Act 1996, whichever is the greater.</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814"/>
        <w:gridCol w:w="4814"/>
      </w:tblGrid>
      <w:tr w:rsidR="00701EA7" w:rsidRPr="008D0843" w14:paraId="29CA03DE" w14:textId="77777777" w:rsidTr="008D0843">
        <w:trPr>
          <w:cantSplit/>
          <w:tblHeader/>
        </w:trPr>
        <w:tc>
          <w:tcPr>
            <w:tcW w:w="2500" w:type="pct"/>
            <w:shd w:val="clear" w:color="auto" w:fill="DF5F4D"/>
            <w:tcMar>
              <w:top w:w="90" w:type="dxa"/>
              <w:left w:w="0" w:type="dxa"/>
              <w:bottom w:w="90" w:type="dxa"/>
              <w:right w:w="120" w:type="dxa"/>
            </w:tcMar>
          </w:tcPr>
          <w:p w14:paraId="29CA03DC" w14:textId="77777777" w:rsidR="00701EA7" w:rsidRPr="008D0843" w:rsidRDefault="007D7FDA" w:rsidP="008D0843">
            <w:pPr>
              <w:jc w:val="center"/>
              <w:rPr>
                <w:color w:val="FFFFFF" w:themeColor="background1"/>
              </w:rPr>
            </w:pPr>
            <w:r w:rsidRPr="008D0843">
              <w:rPr>
                <w:rFonts w:ascii="Aptos" w:eastAsia="Aptos" w:hAnsi="Aptos" w:cs="Aptos"/>
                <w:b/>
                <w:bCs/>
                <w:color w:val="FFFFFF" w:themeColor="background1"/>
                <w:spacing w:val="6"/>
              </w:rPr>
              <w:t>CONTINUOUS SERVICE</w:t>
            </w:r>
          </w:p>
        </w:tc>
        <w:tc>
          <w:tcPr>
            <w:tcW w:w="2500" w:type="pct"/>
            <w:shd w:val="clear" w:color="auto" w:fill="DF5F4D"/>
            <w:tcMar>
              <w:top w:w="90" w:type="dxa"/>
              <w:left w:w="120" w:type="dxa"/>
              <w:bottom w:w="90" w:type="dxa"/>
              <w:right w:w="120" w:type="dxa"/>
            </w:tcMar>
          </w:tcPr>
          <w:p w14:paraId="29CA03DD" w14:textId="77777777" w:rsidR="00701EA7" w:rsidRPr="008D0843" w:rsidRDefault="007D7FDA" w:rsidP="008D0843">
            <w:pPr>
              <w:jc w:val="center"/>
              <w:rPr>
                <w:color w:val="FFFFFF" w:themeColor="background1"/>
              </w:rPr>
            </w:pPr>
            <w:r w:rsidRPr="008D0843">
              <w:rPr>
                <w:rFonts w:ascii="Aptos" w:eastAsia="Aptos" w:hAnsi="Aptos" w:cs="Aptos"/>
                <w:b/>
                <w:bCs/>
                <w:color w:val="FFFFFF" w:themeColor="background1"/>
                <w:spacing w:val="6"/>
              </w:rPr>
              <w:t>STATUTORY MINIMUM NOTICE</w:t>
            </w:r>
          </w:p>
        </w:tc>
      </w:tr>
      <w:tr w:rsidR="00701EA7" w14:paraId="29CA03E1" w14:textId="77777777" w:rsidTr="008D0843">
        <w:trPr>
          <w:cantSplit/>
        </w:trPr>
        <w:tc>
          <w:tcPr>
            <w:tcW w:w="2500" w:type="pct"/>
            <w:tcMar>
              <w:top w:w="110" w:type="dxa"/>
              <w:left w:w="0" w:type="dxa"/>
              <w:bottom w:w="110" w:type="dxa"/>
              <w:right w:w="120" w:type="dxa"/>
            </w:tcMar>
          </w:tcPr>
          <w:p w14:paraId="29CA03DF" w14:textId="77777777" w:rsidR="00701EA7" w:rsidRDefault="007D7FDA" w:rsidP="008D0843">
            <w:pPr>
              <w:jc w:val="center"/>
            </w:pPr>
            <w:r>
              <w:rPr>
                <w:rFonts w:ascii="Aptos" w:eastAsia="Aptos" w:hAnsi="Aptos" w:cs="Aptos"/>
                <w:b/>
                <w:bCs/>
                <w:color w:val="7C7C81"/>
              </w:rPr>
              <w:t>Less than one month</w:t>
            </w:r>
          </w:p>
        </w:tc>
        <w:tc>
          <w:tcPr>
            <w:tcW w:w="2500" w:type="pct"/>
            <w:tcMar>
              <w:top w:w="110" w:type="dxa"/>
              <w:left w:w="120" w:type="dxa"/>
              <w:bottom w:w="110" w:type="dxa"/>
              <w:right w:w="120" w:type="dxa"/>
            </w:tcMar>
          </w:tcPr>
          <w:p w14:paraId="29CA03E0" w14:textId="77777777" w:rsidR="00701EA7" w:rsidRDefault="007D7FDA">
            <w:r>
              <w:rPr>
                <w:rFonts w:ascii="Aptos" w:eastAsia="Aptos" w:hAnsi="Aptos" w:cs="Aptos"/>
                <w:color w:val="7C7C81"/>
              </w:rPr>
              <w:t>No statutory minimum (contractual notice applies)</w:t>
            </w:r>
          </w:p>
        </w:tc>
      </w:tr>
      <w:tr w:rsidR="00701EA7" w14:paraId="29CA03E4" w14:textId="77777777" w:rsidTr="008D0843">
        <w:trPr>
          <w:cantSplit/>
        </w:trPr>
        <w:tc>
          <w:tcPr>
            <w:tcW w:w="2500" w:type="pct"/>
            <w:tcMar>
              <w:top w:w="110" w:type="dxa"/>
              <w:left w:w="0" w:type="dxa"/>
              <w:bottom w:w="110" w:type="dxa"/>
              <w:right w:w="120" w:type="dxa"/>
            </w:tcMar>
          </w:tcPr>
          <w:p w14:paraId="29CA03E2" w14:textId="77777777" w:rsidR="00701EA7" w:rsidRDefault="007D7FDA" w:rsidP="008D0843">
            <w:pPr>
              <w:jc w:val="center"/>
            </w:pPr>
            <w:r>
              <w:rPr>
                <w:rFonts w:ascii="Aptos" w:eastAsia="Aptos" w:hAnsi="Aptos" w:cs="Aptos"/>
                <w:b/>
                <w:bCs/>
                <w:color w:val="7C7C81"/>
              </w:rPr>
              <w:t>One month to less than two years</w:t>
            </w:r>
          </w:p>
        </w:tc>
        <w:tc>
          <w:tcPr>
            <w:tcW w:w="2500" w:type="pct"/>
            <w:tcMar>
              <w:top w:w="110" w:type="dxa"/>
              <w:left w:w="120" w:type="dxa"/>
              <w:bottom w:w="110" w:type="dxa"/>
              <w:right w:w="120" w:type="dxa"/>
            </w:tcMar>
          </w:tcPr>
          <w:p w14:paraId="29CA03E3" w14:textId="77777777" w:rsidR="00701EA7" w:rsidRDefault="007D7FDA">
            <w:r>
              <w:rPr>
                <w:rFonts w:ascii="Aptos" w:eastAsia="Aptos" w:hAnsi="Aptos" w:cs="Aptos"/>
                <w:color w:val="7C7C81"/>
              </w:rPr>
              <w:t>One week</w:t>
            </w:r>
          </w:p>
        </w:tc>
      </w:tr>
      <w:tr w:rsidR="00701EA7" w14:paraId="29CA03E7" w14:textId="77777777" w:rsidTr="008D0843">
        <w:trPr>
          <w:cantSplit/>
        </w:trPr>
        <w:tc>
          <w:tcPr>
            <w:tcW w:w="2500" w:type="pct"/>
            <w:tcMar>
              <w:top w:w="110" w:type="dxa"/>
              <w:left w:w="0" w:type="dxa"/>
              <w:bottom w:w="110" w:type="dxa"/>
              <w:right w:w="120" w:type="dxa"/>
            </w:tcMar>
          </w:tcPr>
          <w:p w14:paraId="29CA03E5" w14:textId="77777777" w:rsidR="00701EA7" w:rsidRDefault="007D7FDA" w:rsidP="008D0843">
            <w:pPr>
              <w:jc w:val="center"/>
            </w:pPr>
            <w:r>
              <w:rPr>
                <w:rFonts w:ascii="Aptos" w:eastAsia="Aptos" w:hAnsi="Aptos" w:cs="Aptos"/>
                <w:b/>
                <w:bCs/>
                <w:color w:val="7C7C81"/>
              </w:rPr>
              <w:t>Two years to less than twelve years</w:t>
            </w:r>
          </w:p>
        </w:tc>
        <w:tc>
          <w:tcPr>
            <w:tcW w:w="2500" w:type="pct"/>
            <w:tcMar>
              <w:top w:w="110" w:type="dxa"/>
              <w:left w:w="120" w:type="dxa"/>
              <w:bottom w:w="110" w:type="dxa"/>
              <w:right w:w="120" w:type="dxa"/>
            </w:tcMar>
          </w:tcPr>
          <w:p w14:paraId="29CA03E6" w14:textId="77777777" w:rsidR="00701EA7" w:rsidRDefault="007D7FDA">
            <w:r>
              <w:rPr>
                <w:rFonts w:ascii="Aptos" w:eastAsia="Aptos" w:hAnsi="Aptos" w:cs="Aptos"/>
                <w:color w:val="7C7C81"/>
              </w:rPr>
              <w:t>One week per complete year of continuous service</w:t>
            </w:r>
          </w:p>
        </w:tc>
      </w:tr>
      <w:tr w:rsidR="00701EA7" w14:paraId="29CA03EA" w14:textId="77777777" w:rsidTr="008D0843">
        <w:trPr>
          <w:cantSplit/>
        </w:trPr>
        <w:tc>
          <w:tcPr>
            <w:tcW w:w="2500" w:type="pct"/>
            <w:tcMar>
              <w:top w:w="110" w:type="dxa"/>
              <w:left w:w="0" w:type="dxa"/>
              <w:bottom w:w="110" w:type="dxa"/>
              <w:right w:w="120" w:type="dxa"/>
            </w:tcMar>
          </w:tcPr>
          <w:p w14:paraId="29CA03E8" w14:textId="77777777" w:rsidR="00701EA7" w:rsidRDefault="007D7FDA" w:rsidP="008D0843">
            <w:pPr>
              <w:jc w:val="center"/>
            </w:pPr>
            <w:r>
              <w:rPr>
                <w:rFonts w:ascii="Aptos" w:eastAsia="Aptos" w:hAnsi="Aptos" w:cs="Aptos"/>
                <w:b/>
                <w:bCs/>
                <w:color w:val="7C7C81"/>
              </w:rPr>
              <w:t>Twelve years or more</w:t>
            </w:r>
          </w:p>
        </w:tc>
        <w:tc>
          <w:tcPr>
            <w:tcW w:w="2500" w:type="pct"/>
            <w:tcMar>
              <w:top w:w="110" w:type="dxa"/>
              <w:left w:w="120" w:type="dxa"/>
              <w:bottom w:w="110" w:type="dxa"/>
              <w:right w:w="120" w:type="dxa"/>
            </w:tcMar>
          </w:tcPr>
          <w:p w14:paraId="29CA03E9" w14:textId="77777777" w:rsidR="00701EA7" w:rsidRDefault="007D7FDA">
            <w:r>
              <w:rPr>
                <w:rFonts w:ascii="Aptos" w:eastAsia="Aptos" w:hAnsi="Aptos" w:cs="Aptos"/>
                <w:color w:val="7C7C81"/>
              </w:rPr>
              <w:t>Twelve weeks (the statutory maximum)</w:t>
            </w:r>
          </w:p>
        </w:tc>
      </w:tr>
    </w:tbl>
    <w:p w14:paraId="29CA03EB" w14:textId="07146B8F" w:rsidR="00701EA7" w:rsidRDefault="008D0843">
      <w:pPr>
        <w:spacing w:after="160" w:line="264" w:lineRule="auto"/>
      </w:pPr>
      <w:r>
        <w:rPr>
          <w:rFonts w:ascii="Aptos" w:eastAsia="Aptos" w:hAnsi="Aptos" w:cs="Aptos"/>
          <w:color w:val="7C7C81"/>
        </w:rPr>
        <w:br/>
      </w:r>
      <w:r w:rsidR="007D7FDA">
        <w:rPr>
          <w:rFonts w:ascii="Aptos" w:eastAsia="Aptos" w:hAnsi="Aptos" w:cs="Aptos"/>
          <w:color w:val="7C7C81"/>
        </w:rPr>
        <w:t>The organisation may, at its discretion, require an employee to work their notice period, pay them in lieu of notice (PILON), or place them on garden leave for all or part of the notice period. Any contractual right to pay in lieu of notice must be exercised in accordance with the contract.</w:t>
      </w:r>
    </w:p>
    <w:p w14:paraId="29CA03EC" w14:textId="77777777" w:rsidR="00701EA7" w:rsidRDefault="007D7FDA">
      <w:pPr>
        <w:spacing w:after="160" w:line="264" w:lineRule="auto"/>
      </w:pPr>
      <w:r>
        <w:rPr>
          <w:rFonts w:ascii="Aptos" w:eastAsia="Aptos" w:hAnsi="Aptos" w:cs="Aptos"/>
          <w:color w:val="7C7C81"/>
        </w:rPr>
        <w:t>Note: Under the post-employment notice pay (PENP) rules that came into force in April 2018, all PILON payments are subject to income tax and National Insurance contributions, regardless of whether there is a PILON clause in the contract.</w:t>
      </w:r>
    </w:p>
    <w:p w14:paraId="717AF4EF" w14:textId="77777777" w:rsidR="001668DF" w:rsidRDefault="001668DF">
      <w:pPr>
        <w:rPr>
          <w:rFonts w:ascii="Aptos" w:eastAsia="Aptos" w:hAnsi="Aptos" w:cs="Aptos"/>
          <w:b/>
          <w:bCs/>
          <w:color w:val="DF5F4D"/>
          <w:spacing w:val="20"/>
        </w:rPr>
      </w:pPr>
      <w:r>
        <w:rPr>
          <w:rFonts w:ascii="Aptos" w:eastAsia="Aptos" w:hAnsi="Aptos" w:cs="Aptos"/>
          <w:b/>
          <w:bCs/>
          <w:color w:val="DF5F4D"/>
          <w:spacing w:val="20"/>
        </w:rPr>
        <w:br w:type="page"/>
      </w:r>
    </w:p>
    <w:p w14:paraId="29CA03ED" w14:textId="0C389363" w:rsidR="00701EA7" w:rsidRDefault="007D7FDA">
      <w:pPr>
        <w:keepNext/>
        <w:keepLines/>
        <w:spacing w:before="200" w:after="40"/>
      </w:pPr>
      <w:r>
        <w:rPr>
          <w:rFonts w:ascii="Aptos" w:eastAsia="Aptos" w:hAnsi="Aptos" w:cs="Aptos"/>
          <w:b/>
          <w:bCs/>
          <w:color w:val="DF5F4D"/>
          <w:spacing w:val="20"/>
        </w:rPr>
        <w:lastRenderedPageBreak/>
        <w:t>SECTION 07</w:t>
      </w:r>
    </w:p>
    <w:p w14:paraId="29CA03EE" w14:textId="77777777" w:rsidR="00701EA7" w:rsidRDefault="007D7FDA">
      <w:pPr>
        <w:keepNext/>
        <w:keepLines/>
      </w:pPr>
      <w:r>
        <w:rPr>
          <w:rFonts w:ascii="Aptos" w:eastAsia="Aptos" w:hAnsi="Aptos" w:cs="Aptos"/>
          <w:b/>
          <w:bCs/>
          <w:color w:val="7C7C81"/>
          <w:sz w:val="24"/>
          <w:szCs w:val="24"/>
        </w:rPr>
        <w:t>Statutory Redundancy Pay</w:t>
      </w:r>
    </w:p>
    <w:p w14:paraId="29CA03EF" w14:textId="77777777" w:rsidR="00701EA7" w:rsidRDefault="00701EA7">
      <w:pPr>
        <w:keepNext/>
        <w:pBdr>
          <w:bottom w:val="single" w:sz="6" w:space="1" w:color="B9B8B9"/>
        </w:pBdr>
        <w:spacing w:after="120"/>
      </w:pPr>
    </w:p>
    <w:p w14:paraId="29CA03F0" w14:textId="77777777" w:rsidR="00701EA7" w:rsidRDefault="007D7FDA">
      <w:pPr>
        <w:spacing w:after="160" w:line="264" w:lineRule="auto"/>
      </w:pPr>
      <w:r>
        <w:rPr>
          <w:rFonts w:ascii="Aptos" w:eastAsia="Aptos" w:hAnsi="Aptos" w:cs="Aptos"/>
          <w:color w:val="7C7C81"/>
        </w:rPr>
        <w:t>Employees with at least two years' continuous service are entitled to a statutory redundancy payment under the Employment Rights Act 1996. The payment is calculated by reference to the employee's age, length of qualifying service and weekly pay (subject to a statutory weekly pay cap that is reviewed annually in April).</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547"/>
        <w:gridCol w:w="3403"/>
        <w:gridCol w:w="3678"/>
      </w:tblGrid>
      <w:tr w:rsidR="00701EA7" w:rsidRPr="008D0843" w14:paraId="29CA03F4" w14:textId="77777777" w:rsidTr="001668DF">
        <w:trPr>
          <w:cantSplit/>
          <w:tblHeader/>
        </w:trPr>
        <w:tc>
          <w:tcPr>
            <w:tcW w:w="1323" w:type="pct"/>
            <w:shd w:val="clear" w:color="auto" w:fill="DF5F4D"/>
            <w:tcMar>
              <w:top w:w="90" w:type="dxa"/>
              <w:left w:w="0" w:type="dxa"/>
              <w:bottom w:w="90" w:type="dxa"/>
              <w:right w:w="120" w:type="dxa"/>
            </w:tcMar>
          </w:tcPr>
          <w:p w14:paraId="29CA03F1" w14:textId="77777777" w:rsidR="00701EA7" w:rsidRPr="008D0843" w:rsidRDefault="007D7FDA" w:rsidP="001668DF">
            <w:pPr>
              <w:jc w:val="center"/>
              <w:rPr>
                <w:color w:val="FFFFFF" w:themeColor="background1"/>
              </w:rPr>
            </w:pPr>
            <w:r w:rsidRPr="008D0843">
              <w:rPr>
                <w:rFonts w:ascii="Aptos" w:eastAsia="Aptos" w:hAnsi="Aptos" w:cs="Aptos"/>
                <w:b/>
                <w:bCs/>
                <w:color w:val="FFFFFF" w:themeColor="background1"/>
                <w:spacing w:val="6"/>
              </w:rPr>
              <w:t>AGE AT REDUNDANCY</w:t>
            </w:r>
          </w:p>
        </w:tc>
        <w:tc>
          <w:tcPr>
            <w:tcW w:w="1767" w:type="pct"/>
            <w:shd w:val="clear" w:color="auto" w:fill="DF5F4D"/>
            <w:tcMar>
              <w:top w:w="90" w:type="dxa"/>
              <w:left w:w="120" w:type="dxa"/>
              <w:bottom w:w="90" w:type="dxa"/>
              <w:right w:w="120" w:type="dxa"/>
            </w:tcMar>
          </w:tcPr>
          <w:p w14:paraId="29CA03F2" w14:textId="77777777" w:rsidR="00701EA7" w:rsidRPr="008D0843" w:rsidRDefault="007D7FDA" w:rsidP="001668DF">
            <w:pPr>
              <w:jc w:val="center"/>
              <w:rPr>
                <w:color w:val="FFFFFF" w:themeColor="background1"/>
              </w:rPr>
            </w:pPr>
            <w:r w:rsidRPr="008D0843">
              <w:rPr>
                <w:rFonts w:ascii="Aptos" w:eastAsia="Aptos" w:hAnsi="Aptos" w:cs="Aptos"/>
                <w:b/>
                <w:bCs/>
                <w:color w:val="FFFFFF" w:themeColor="background1"/>
                <w:spacing w:val="6"/>
              </w:rPr>
              <w:t>ENTITLEMENT PER COMPLETE YEAR OF QUALIFYING SERVICE</w:t>
            </w:r>
          </w:p>
        </w:tc>
        <w:tc>
          <w:tcPr>
            <w:tcW w:w="1911" w:type="pct"/>
            <w:shd w:val="clear" w:color="auto" w:fill="DF5F4D"/>
            <w:tcMar>
              <w:top w:w="90" w:type="dxa"/>
              <w:left w:w="120" w:type="dxa"/>
              <w:bottom w:w="90" w:type="dxa"/>
              <w:right w:w="120" w:type="dxa"/>
            </w:tcMar>
          </w:tcPr>
          <w:p w14:paraId="29CA03F3" w14:textId="77777777" w:rsidR="00701EA7" w:rsidRPr="008D0843" w:rsidRDefault="007D7FDA" w:rsidP="001668DF">
            <w:pPr>
              <w:jc w:val="center"/>
              <w:rPr>
                <w:color w:val="FFFFFF" w:themeColor="background1"/>
              </w:rPr>
            </w:pPr>
            <w:r w:rsidRPr="008D0843">
              <w:rPr>
                <w:rFonts w:ascii="Aptos" w:eastAsia="Aptos" w:hAnsi="Aptos" w:cs="Aptos"/>
                <w:b/>
                <w:bCs/>
                <w:color w:val="FFFFFF" w:themeColor="background1"/>
                <w:spacing w:val="6"/>
              </w:rPr>
              <w:t>NOTES</w:t>
            </w:r>
          </w:p>
        </w:tc>
      </w:tr>
      <w:tr w:rsidR="00701EA7" w14:paraId="29CA03F8" w14:textId="77777777" w:rsidTr="001668DF">
        <w:trPr>
          <w:cantSplit/>
        </w:trPr>
        <w:tc>
          <w:tcPr>
            <w:tcW w:w="1323" w:type="pct"/>
            <w:tcMar>
              <w:top w:w="110" w:type="dxa"/>
              <w:left w:w="0" w:type="dxa"/>
              <w:bottom w:w="110" w:type="dxa"/>
              <w:right w:w="120" w:type="dxa"/>
            </w:tcMar>
          </w:tcPr>
          <w:p w14:paraId="29CA03F5" w14:textId="77777777" w:rsidR="00701EA7" w:rsidRDefault="007D7FDA">
            <w:r>
              <w:rPr>
                <w:rFonts w:ascii="Aptos" w:eastAsia="Aptos" w:hAnsi="Aptos" w:cs="Aptos"/>
                <w:b/>
                <w:bCs/>
                <w:color w:val="7C7C81"/>
              </w:rPr>
              <w:t>Under 22</w:t>
            </w:r>
          </w:p>
        </w:tc>
        <w:tc>
          <w:tcPr>
            <w:tcW w:w="1767" w:type="pct"/>
            <w:tcMar>
              <w:top w:w="110" w:type="dxa"/>
              <w:left w:w="120" w:type="dxa"/>
              <w:bottom w:w="110" w:type="dxa"/>
              <w:right w:w="120" w:type="dxa"/>
            </w:tcMar>
          </w:tcPr>
          <w:p w14:paraId="29CA03F6" w14:textId="77777777" w:rsidR="00701EA7" w:rsidRDefault="007D7FDA">
            <w:r>
              <w:rPr>
                <w:rFonts w:ascii="Aptos" w:eastAsia="Aptos" w:hAnsi="Aptos" w:cs="Aptos"/>
                <w:color w:val="7C7C81"/>
              </w:rPr>
              <w:t>Half a week's pay</w:t>
            </w:r>
          </w:p>
        </w:tc>
        <w:tc>
          <w:tcPr>
            <w:tcW w:w="1911" w:type="pct"/>
            <w:tcMar>
              <w:top w:w="110" w:type="dxa"/>
              <w:left w:w="120" w:type="dxa"/>
              <w:bottom w:w="110" w:type="dxa"/>
              <w:right w:w="120" w:type="dxa"/>
            </w:tcMar>
          </w:tcPr>
          <w:p w14:paraId="29CA03F7" w14:textId="77777777" w:rsidR="00701EA7" w:rsidRDefault="007D7FDA">
            <w:r>
              <w:rPr>
                <w:rFonts w:ascii="Aptos" w:eastAsia="Aptos" w:hAnsi="Aptos" w:cs="Aptos"/>
                <w:color w:val="7C7C81"/>
              </w:rPr>
              <w:t>Applies to each full year of service accrued before age 22</w:t>
            </w:r>
          </w:p>
        </w:tc>
      </w:tr>
      <w:tr w:rsidR="00701EA7" w14:paraId="29CA03FC" w14:textId="77777777" w:rsidTr="001668DF">
        <w:trPr>
          <w:cantSplit/>
        </w:trPr>
        <w:tc>
          <w:tcPr>
            <w:tcW w:w="1323" w:type="pct"/>
            <w:tcMar>
              <w:top w:w="110" w:type="dxa"/>
              <w:left w:w="0" w:type="dxa"/>
              <w:bottom w:w="110" w:type="dxa"/>
              <w:right w:w="120" w:type="dxa"/>
            </w:tcMar>
          </w:tcPr>
          <w:p w14:paraId="29CA03F9" w14:textId="77777777" w:rsidR="00701EA7" w:rsidRDefault="007D7FDA">
            <w:r>
              <w:rPr>
                <w:rFonts w:ascii="Aptos" w:eastAsia="Aptos" w:hAnsi="Aptos" w:cs="Aptos"/>
                <w:b/>
                <w:bCs/>
                <w:color w:val="7C7C81"/>
              </w:rPr>
              <w:t>22 to 40</w:t>
            </w:r>
          </w:p>
        </w:tc>
        <w:tc>
          <w:tcPr>
            <w:tcW w:w="1767" w:type="pct"/>
            <w:tcMar>
              <w:top w:w="110" w:type="dxa"/>
              <w:left w:w="120" w:type="dxa"/>
              <w:bottom w:w="110" w:type="dxa"/>
              <w:right w:w="120" w:type="dxa"/>
            </w:tcMar>
          </w:tcPr>
          <w:p w14:paraId="29CA03FA" w14:textId="77777777" w:rsidR="00701EA7" w:rsidRDefault="007D7FDA">
            <w:r>
              <w:rPr>
                <w:rFonts w:ascii="Aptos" w:eastAsia="Aptos" w:hAnsi="Aptos" w:cs="Aptos"/>
                <w:color w:val="7C7C81"/>
              </w:rPr>
              <w:t>One week's pay</w:t>
            </w:r>
          </w:p>
        </w:tc>
        <w:tc>
          <w:tcPr>
            <w:tcW w:w="1911" w:type="pct"/>
            <w:tcMar>
              <w:top w:w="110" w:type="dxa"/>
              <w:left w:w="120" w:type="dxa"/>
              <w:bottom w:w="110" w:type="dxa"/>
              <w:right w:w="120" w:type="dxa"/>
            </w:tcMar>
          </w:tcPr>
          <w:p w14:paraId="29CA03FB" w14:textId="77777777" w:rsidR="00701EA7" w:rsidRDefault="007D7FDA">
            <w:r>
              <w:rPr>
                <w:rFonts w:ascii="Aptos" w:eastAsia="Aptos" w:hAnsi="Aptos" w:cs="Aptos"/>
                <w:color w:val="7C7C81"/>
              </w:rPr>
              <w:t>Applies to each full year of service accrued between ages 22 and 40</w:t>
            </w:r>
          </w:p>
        </w:tc>
      </w:tr>
      <w:tr w:rsidR="00701EA7" w14:paraId="29CA0400" w14:textId="77777777" w:rsidTr="001668DF">
        <w:trPr>
          <w:cantSplit/>
        </w:trPr>
        <w:tc>
          <w:tcPr>
            <w:tcW w:w="1323" w:type="pct"/>
            <w:tcMar>
              <w:top w:w="110" w:type="dxa"/>
              <w:left w:w="0" w:type="dxa"/>
              <w:bottom w:w="110" w:type="dxa"/>
              <w:right w:w="120" w:type="dxa"/>
            </w:tcMar>
          </w:tcPr>
          <w:p w14:paraId="29CA03FD" w14:textId="77777777" w:rsidR="00701EA7" w:rsidRDefault="007D7FDA">
            <w:r>
              <w:rPr>
                <w:rFonts w:ascii="Aptos" w:eastAsia="Aptos" w:hAnsi="Aptos" w:cs="Aptos"/>
                <w:b/>
                <w:bCs/>
                <w:color w:val="7C7C81"/>
              </w:rPr>
              <w:t>41 or over</w:t>
            </w:r>
          </w:p>
        </w:tc>
        <w:tc>
          <w:tcPr>
            <w:tcW w:w="1767" w:type="pct"/>
            <w:tcMar>
              <w:top w:w="110" w:type="dxa"/>
              <w:left w:w="120" w:type="dxa"/>
              <w:bottom w:w="110" w:type="dxa"/>
              <w:right w:w="120" w:type="dxa"/>
            </w:tcMar>
          </w:tcPr>
          <w:p w14:paraId="29CA03FE" w14:textId="77777777" w:rsidR="00701EA7" w:rsidRDefault="007D7FDA">
            <w:r>
              <w:rPr>
                <w:rFonts w:ascii="Aptos" w:eastAsia="Aptos" w:hAnsi="Aptos" w:cs="Aptos"/>
                <w:color w:val="7C7C81"/>
              </w:rPr>
              <w:t>One and a half week's pay</w:t>
            </w:r>
          </w:p>
        </w:tc>
        <w:tc>
          <w:tcPr>
            <w:tcW w:w="1911" w:type="pct"/>
            <w:tcMar>
              <w:top w:w="110" w:type="dxa"/>
              <w:left w:w="120" w:type="dxa"/>
              <w:bottom w:w="110" w:type="dxa"/>
              <w:right w:w="120" w:type="dxa"/>
            </w:tcMar>
          </w:tcPr>
          <w:p w14:paraId="29CA03FF" w14:textId="77777777" w:rsidR="00701EA7" w:rsidRDefault="007D7FDA">
            <w:r>
              <w:rPr>
                <w:rFonts w:ascii="Aptos" w:eastAsia="Aptos" w:hAnsi="Aptos" w:cs="Aptos"/>
                <w:color w:val="7C7C81"/>
              </w:rPr>
              <w:t>Applies to each full year of service accrued from age 41 onwards</w:t>
            </w:r>
          </w:p>
        </w:tc>
      </w:tr>
      <w:tr w:rsidR="00701EA7" w14:paraId="29CA0404" w14:textId="77777777" w:rsidTr="001668DF">
        <w:trPr>
          <w:cantSplit/>
        </w:trPr>
        <w:tc>
          <w:tcPr>
            <w:tcW w:w="1323" w:type="pct"/>
            <w:tcMar>
              <w:top w:w="110" w:type="dxa"/>
              <w:left w:w="0" w:type="dxa"/>
              <w:bottom w:w="110" w:type="dxa"/>
              <w:right w:w="120" w:type="dxa"/>
            </w:tcMar>
          </w:tcPr>
          <w:p w14:paraId="29CA0401" w14:textId="77777777" w:rsidR="00701EA7" w:rsidRDefault="007D7FDA">
            <w:r>
              <w:rPr>
                <w:rFonts w:ascii="Aptos" w:eastAsia="Aptos" w:hAnsi="Aptos" w:cs="Aptos"/>
                <w:b/>
                <w:bCs/>
                <w:color w:val="7C7C81"/>
              </w:rPr>
              <w:t>Maximum service counted</w:t>
            </w:r>
          </w:p>
        </w:tc>
        <w:tc>
          <w:tcPr>
            <w:tcW w:w="1767" w:type="pct"/>
            <w:tcMar>
              <w:top w:w="110" w:type="dxa"/>
              <w:left w:w="120" w:type="dxa"/>
              <w:bottom w:w="110" w:type="dxa"/>
              <w:right w:w="120" w:type="dxa"/>
            </w:tcMar>
          </w:tcPr>
          <w:p w14:paraId="29CA0402" w14:textId="77777777" w:rsidR="00701EA7" w:rsidRDefault="007D7FDA">
            <w:r>
              <w:rPr>
                <w:rFonts w:ascii="Aptos" w:eastAsia="Aptos" w:hAnsi="Aptos" w:cs="Aptos"/>
                <w:color w:val="7C7C81"/>
              </w:rPr>
              <w:t>20 years</w:t>
            </w:r>
          </w:p>
        </w:tc>
        <w:tc>
          <w:tcPr>
            <w:tcW w:w="1911" w:type="pct"/>
            <w:tcMar>
              <w:top w:w="110" w:type="dxa"/>
              <w:left w:w="120" w:type="dxa"/>
              <w:bottom w:w="110" w:type="dxa"/>
              <w:right w:w="120" w:type="dxa"/>
            </w:tcMar>
          </w:tcPr>
          <w:p w14:paraId="29CA0403" w14:textId="77777777" w:rsidR="00701EA7" w:rsidRDefault="007D7FDA">
            <w:r>
              <w:rPr>
                <w:rFonts w:ascii="Aptos" w:eastAsia="Aptos" w:hAnsi="Aptos" w:cs="Aptos"/>
                <w:color w:val="7C7C81"/>
              </w:rPr>
              <w:t>Only the most recent 20 years of qualifying service count toward the calculation</w:t>
            </w:r>
          </w:p>
        </w:tc>
      </w:tr>
      <w:tr w:rsidR="00701EA7" w14:paraId="29CA0408" w14:textId="77777777" w:rsidTr="001668DF">
        <w:trPr>
          <w:cantSplit/>
        </w:trPr>
        <w:tc>
          <w:tcPr>
            <w:tcW w:w="1323" w:type="pct"/>
            <w:tcMar>
              <w:top w:w="110" w:type="dxa"/>
              <w:left w:w="0" w:type="dxa"/>
              <w:bottom w:w="110" w:type="dxa"/>
              <w:right w:w="120" w:type="dxa"/>
            </w:tcMar>
          </w:tcPr>
          <w:p w14:paraId="29CA0405" w14:textId="77777777" w:rsidR="00701EA7" w:rsidRDefault="007D7FDA">
            <w:r>
              <w:rPr>
                <w:rFonts w:ascii="Aptos" w:eastAsia="Aptos" w:hAnsi="Aptos" w:cs="Aptos"/>
                <w:b/>
                <w:bCs/>
                <w:color w:val="7C7C81"/>
              </w:rPr>
              <w:t>Weekly pay cap</w:t>
            </w:r>
          </w:p>
        </w:tc>
        <w:tc>
          <w:tcPr>
            <w:tcW w:w="1767" w:type="pct"/>
            <w:tcMar>
              <w:top w:w="110" w:type="dxa"/>
              <w:left w:w="120" w:type="dxa"/>
              <w:bottom w:w="110" w:type="dxa"/>
              <w:right w:w="120" w:type="dxa"/>
            </w:tcMar>
          </w:tcPr>
          <w:p w14:paraId="29CA0406" w14:textId="77777777" w:rsidR="00701EA7" w:rsidRDefault="007D7FDA">
            <w:r>
              <w:rPr>
                <w:rFonts w:ascii="Aptos" w:eastAsia="Aptos" w:hAnsi="Aptos" w:cs="Aptos"/>
                <w:color w:val="7C7C81"/>
              </w:rPr>
              <w:t>Figures should be checked against current government rates before use</w:t>
            </w:r>
          </w:p>
        </w:tc>
        <w:tc>
          <w:tcPr>
            <w:tcW w:w="1911" w:type="pct"/>
            <w:tcMar>
              <w:top w:w="110" w:type="dxa"/>
              <w:left w:w="120" w:type="dxa"/>
              <w:bottom w:w="110" w:type="dxa"/>
              <w:right w:w="120" w:type="dxa"/>
            </w:tcMar>
          </w:tcPr>
          <w:p w14:paraId="29CA0407" w14:textId="77777777" w:rsidR="00701EA7" w:rsidRDefault="007D7FDA">
            <w:r>
              <w:rPr>
                <w:rFonts w:ascii="Aptos" w:eastAsia="Aptos" w:hAnsi="Aptos" w:cs="Aptos"/>
                <w:color w:val="7C7C81"/>
              </w:rPr>
              <w:t>Subject to the statutory weekly pay cap (verify current figure at each policy review - updated annually in April)</w:t>
            </w:r>
          </w:p>
        </w:tc>
      </w:tr>
      <w:tr w:rsidR="00701EA7" w14:paraId="29CA040C" w14:textId="77777777" w:rsidTr="001668DF">
        <w:trPr>
          <w:cantSplit/>
        </w:trPr>
        <w:tc>
          <w:tcPr>
            <w:tcW w:w="1323" w:type="pct"/>
            <w:tcMar>
              <w:top w:w="110" w:type="dxa"/>
              <w:left w:w="0" w:type="dxa"/>
              <w:bottom w:w="110" w:type="dxa"/>
              <w:right w:w="120" w:type="dxa"/>
            </w:tcMar>
          </w:tcPr>
          <w:p w14:paraId="29CA0409" w14:textId="77777777" w:rsidR="00701EA7" w:rsidRDefault="007D7FDA">
            <w:r>
              <w:rPr>
                <w:rFonts w:ascii="Aptos" w:eastAsia="Aptos" w:hAnsi="Aptos" w:cs="Aptos"/>
                <w:b/>
                <w:bCs/>
                <w:color w:val="7C7C81"/>
              </w:rPr>
              <w:t>Maximum statutory redundancy pay</w:t>
            </w:r>
          </w:p>
        </w:tc>
        <w:tc>
          <w:tcPr>
            <w:tcW w:w="1767" w:type="pct"/>
            <w:tcMar>
              <w:top w:w="110" w:type="dxa"/>
              <w:left w:w="120" w:type="dxa"/>
              <w:bottom w:w="110" w:type="dxa"/>
              <w:right w:w="120" w:type="dxa"/>
            </w:tcMar>
          </w:tcPr>
          <w:p w14:paraId="29CA040A" w14:textId="77777777" w:rsidR="00701EA7" w:rsidRDefault="007D7FDA">
            <w:r>
              <w:rPr>
                <w:rFonts w:ascii="Aptos" w:eastAsia="Aptos" w:hAnsi="Aptos" w:cs="Aptos"/>
                <w:color w:val="7C7C81"/>
              </w:rPr>
              <w:t>Figures should be checked against current government rates before use</w:t>
            </w:r>
          </w:p>
        </w:tc>
        <w:tc>
          <w:tcPr>
            <w:tcW w:w="1911" w:type="pct"/>
            <w:tcMar>
              <w:top w:w="110" w:type="dxa"/>
              <w:left w:w="120" w:type="dxa"/>
              <w:bottom w:w="110" w:type="dxa"/>
              <w:right w:w="120" w:type="dxa"/>
            </w:tcMar>
          </w:tcPr>
          <w:p w14:paraId="29CA040B" w14:textId="77777777" w:rsidR="00701EA7" w:rsidRDefault="007D7FDA">
            <w:r>
              <w:rPr>
                <w:rFonts w:ascii="Aptos" w:eastAsia="Aptos" w:hAnsi="Aptos" w:cs="Aptos"/>
                <w:color w:val="7C7C81"/>
              </w:rPr>
              <w:t>Subject to annual revision - verify current figure at each policy review</w:t>
            </w:r>
          </w:p>
        </w:tc>
      </w:tr>
    </w:tbl>
    <w:p w14:paraId="29CA040D" w14:textId="77777777" w:rsidR="00701EA7" w:rsidRDefault="007D7FDA">
      <w:pPr>
        <w:spacing w:after="160" w:line="264" w:lineRule="auto"/>
      </w:pPr>
      <w:r>
        <w:rPr>
          <w:rFonts w:ascii="Aptos" w:eastAsia="Aptos" w:hAnsi="Aptos" w:cs="Aptos"/>
          <w:color w:val="7C7C81"/>
        </w:rPr>
        <w:t>[Important: Verify all figures against current HMRC and government guidance at the time of any redundancy. The statutory weekly pay cap and maximum redundancy pay are revised each April. Figures must be updated at each policy review. A redundancy pay calculator is available on the government's website at www.gov.uk.]</w:t>
      </w:r>
    </w:p>
    <w:p w14:paraId="29CA040E"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Enhanced Redundancy Pay</w:t>
      </w:r>
    </w:p>
    <w:p w14:paraId="29CA040F" w14:textId="77777777" w:rsidR="00701EA7" w:rsidRDefault="007D7FDA">
      <w:pPr>
        <w:spacing w:after="160" w:line="264" w:lineRule="auto"/>
      </w:pPr>
      <w:r>
        <w:rPr>
          <w:rFonts w:ascii="Aptos" w:eastAsia="Aptos" w:hAnsi="Aptos" w:cs="Aptos"/>
          <w:color w:val="7C7C81"/>
        </w:rPr>
        <w:t>[Where the organisation provides enhanced redundancy pay above the statutory minimum, describe the enhanced entitlement here. If no enhancement is provided, remove this section. Where enhanced pay is provided, consider whether it creates a contractual entitlement and take legal advice on the drafting.]</w:t>
      </w:r>
    </w:p>
    <w:p w14:paraId="29CA0410"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Tax Treatment of Redundancy Payments</w:t>
      </w:r>
    </w:p>
    <w:p w14:paraId="29CA0411" w14:textId="77777777" w:rsidR="00701EA7" w:rsidRDefault="007D7FDA">
      <w:pPr>
        <w:spacing w:after="160" w:line="264" w:lineRule="auto"/>
      </w:pPr>
      <w:r>
        <w:rPr>
          <w:rFonts w:ascii="Aptos" w:eastAsia="Aptos" w:hAnsi="Aptos" w:cs="Aptos"/>
          <w:color w:val="7C7C81"/>
        </w:rPr>
        <w:t>Statutory redundancy pay is not subject to income tax, up to a limit of £30,000. Payments above this threshold are subject to tax and National Insurance in the normal way. The first £30,000 of an ex gratia payment for loss of employment may also be eligible for the exemption, subject to conditions - take specialist tax advice in relation to any enhanced or ex gratia payment.</w:t>
      </w:r>
    </w:p>
    <w:p w14:paraId="4883504E" w14:textId="77777777" w:rsidR="001668DF" w:rsidRDefault="001668DF">
      <w:pPr>
        <w:rPr>
          <w:rFonts w:ascii="Aptos" w:eastAsia="Aptos" w:hAnsi="Aptos" w:cs="Aptos"/>
          <w:b/>
          <w:bCs/>
          <w:color w:val="DF5F4D"/>
          <w:spacing w:val="20"/>
        </w:rPr>
      </w:pPr>
      <w:r>
        <w:rPr>
          <w:rFonts w:ascii="Aptos" w:eastAsia="Aptos" w:hAnsi="Aptos" w:cs="Aptos"/>
          <w:b/>
          <w:bCs/>
          <w:color w:val="DF5F4D"/>
          <w:spacing w:val="20"/>
        </w:rPr>
        <w:br w:type="page"/>
      </w:r>
    </w:p>
    <w:p w14:paraId="29CA0412" w14:textId="75E40AE8" w:rsidR="00701EA7" w:rsidRDefault="007D7FDA">
      <w:pPr>
        <w:keepNext/>
        <w:keepLines/>
        <w:spacing w:before="200" w:after="40"/>
      </w:pPr>
      <w:r>
        <w:rPr>
          <w:rFonts w:ascii="Aptos" w:eastAsia="Aptos" w:hAnsi="Aptos" w:cs="Aptos"/>
          <w:b/>
          <w:bCs/>
          <w:color w:val="DF5F4D"/>
          <w:spacing w:val="20"/>
        </w:rPr>
        <w:lastRenderedPageBreak/>
        <w:t>SECTION 08</w:t>
      </w:r>
    </w:p>
    <w:p w14:paraId="29CA0413" w14:textId="77777777" w:rsidR="00701EA7" w:rsidRDefault="007D7FDA">
      <w:pPr>
        <w:keepNext/>
        <w:keepLines/>
      </w:pPr>
      <w:r>
        <w:rPr>
          <w:rFonts w:ascii="Aptos" w:eastAsia="Aptos" w:hAnsi="Aptos" w:cs="Aptos"/>
          <w:b/>
          <w:bCs/>
          <w:color w:val="7C7C81"/>
          <w:sz w:val="24"/>
          <w:szCs w:val="24"/>
        </w:rPr>
        <w:t>Right to Time Off to Seek Alternative Work</w:t>
      </w:r>
    </w:p>
    <w:p w14:paraId="29CA0414" w14:textId="77777777" w:rsidR="00701EA7" w:rsidRDefault="00701EA7">
      <w:pPr>
        <w:keepNext/>
        <w:pBdr>
          <w:bottom w:val="single" w:sz="6" w:space="1" w:color="B9B8B9"/>
        </w:pBdr>
        <w:spacing w:after="120"/>
      </w:pPr>
    </w:p>
    <w:p w14:paraId="29CA0415" w14:textId="77777777" w:rsidR="00701EA7" w:rsidRDefault="007D7FDA">
      <w:pPr>
        <w:spacing w:after="160" w:line="264" w:lineRule="auto"/>
      </w:pPr>
      <w:r>
        <w:rPr>
          <w:rFonts w:ascii="Aptos" w:eastAsia="Aptos" w:hAnsi="Aptos" w:cs="Aptos"/>
          <w:color w:val="7C7C81"/>
        </w:rPr>
        <w:t>Under section 52 of the Employment Rights Act 1996, employees who have been given notice of redundancy and who have at least two years' continuous service are entitled to a reasonable amount of paid time off during working hours to look for new employment or to arrange training.</w:t>
      </w:r>
    </w:p>
    <w:p w14:paraId="29CA0416" w14:textId="77777777" w:rsidR="00701EA7" w:rsidRDefault="007D7FDA">
      <w:pPr>
        <w:spacing w:after="160" w:line="264" w:lineRule="auto"/>
      </w:pPr>
      <w:r>
        <w:rPr>
          <w:rFonts w:ascii="Aptos" w:eastAsia="Aptos" w:hAnsi="Aptos" w:cs="Aptos"/>
          <w:color w:val="7C7C81"/>
        </w:rPr>
        <w:t>Paid time off is limited to 40% of a week's pay - regardless of the amount of time off taken. Employees should notify their manager in advance of the time off they intend to take, and the manager may request reasonable evidence of the purpose.</w:t>
      </w:r>
    </w:p>
    <w:p w14:paraId="29CA0417" w14:textId="77777777" w:rsidR="00701EA7" w:rsidRDefault="007D7FDA">
      <w:pPr>
        <w:keepNext/>
        <w:keepLines/>
        <w:spacing w:before="200" w:after="40"/>
      </w:pPr>
      <w:r>
        <w:rPr>
          <w:rFonts w:ascii="Aptos" w:eastAsia="Aptos" w:hAnsi="Aptos" w:cs="Aptos"/>
          <w:b/>
          <w:bCs/>
          <w:color w:val="DF5F4D"/>
          <w:spacing w:val="20"/>
        </w:rPr>
        <w:t>SECTION 09</w:t>
      </w:r>
    </w:p>
    <w:p w14:paraId="29CA0418" w14:textId="77777777" w:rsidR="00701EA7" w:rsidRDefault="007D7FDA">
      <w:pPr>
        <w:keepNext/>
        <w:keepLines/>
      </w:pPr>
      <w:r>
        <w:rPr>
          <w:rFonts w:ascii="Aptos" w:eastAsia="Aptos" w:hAnsi="Aptos" w:cs="Aptos"/>
          <w:b/>
          <w:bCs/>
          <w:color w:val="7C7C81"/>
          <w:sz w:val="24"/>
          <w:szCs w:val="24"/>
        </w:rPr>
        <w:t>Right of Appeal</w:t>
      </w:r>
    </w:p>
    <w:p w14:paraId="29CA0419" w14:textId="77777777" w:rsidR="00701EA7" w:rsidRDefault="00701EA7">
      <w:pPr>
        <w:keepNext/>
        <w:pBdr>
          <w:bottom w:val="single" w:sz="6" w:space="1" w:color="B9B8B9"/>
        </w:pBdr>
        <w:spacing w:after="120"/>
      </w:pPr>
    </w:p>
    <w:p w14:paraId="08749F30" w14:textId="77777777" w:rsidR="009426F0" w:rsidRPr="009426F0" w:rsidRDefault="007D7FDA" w:rsidP="009426F0">
      <w:pPr>
        <w:spacing w:after="160" w:line="264" w:lineRule="auto"/>
        <w:rPr>
          <w:rFonts w:ascii="Aptos" w:eastAsia="Aptos" w:hAnsi="Aptos" w:cs="Aptos"/>
          <w:color w:val="7C7C81"/>
        </w:rPr>
      </w:pPr>
      <w:r>
        <w:rPr>
          <w:rFonts w:ascii="Aptos" w:eastAsia="Aptos" w:hAnsi="Aptos" w:cs="Aptos"/>
          <w:color w:val="7C7C81"/>
        </w:rPr>
        <w:t>Any employee who is notified of redundancy has the right to appeal against that decision. The right of appeal is an important procedural safeguard - failure to provide it, or to conduct a genuine appeal, may contribute to a finding of unfair dismissal.</w:t>
      </w:r>
      <w:r w:rsidR="009426F0">
        <w:rPr>
          <w:rFonts w:ascii="Aptos" w:eastAsia="Aptos" w:hAnsi="Aptos" w:cs="Aptos"/>
          <w:color w:val="7C7C81"/>
        </w:rPr>
        <w:t xml:space="preserve">  </w:t>
      </w:r>
      <w:r w:rsidR="009426F0" w:rsidRPr="009426F0">
        <w:rPr>
          <w:rFonts w:ascii="Aptos" w:eastAsia="Aptos" w:hAnsi="Aptos" w:cs="Aptos"/>
          <w:color w:val="7C7C81"/>
        </w:rPr>
        <w:t>Wherever practicable, the appeal manager should be more senior than the original decision-maker.</w:t>
      </w:r>
    </w:p>
    <w:tbl>
      <w:tblPr>
        <w:tblW w:w="5000" w:type="pct"/>
        <w:tblCellMar>
          <w:left w:w="10" w:type="dxa"/>
          <w:right w:w="10" w:type="dxa"/>
        </w:tblCellMar>
        <w:tblLook w:val="0000" w:firstRow="0" w:lastRow="0" w:firstColumn="0" w:lastColumn="0" w:noHBand="0" w:noVBand="0"/>
      </w:tblPr>
      <w:tblGrid>
        <w:gridCol w:w="9638"/>
      </w:tblGrid>
      <w:tr w:rsidR="00701EA7" w14:paraId="29CA041D" w14:textId="77777777">
        <w:trPr>
          <w:cantSplit/>
        </w:trPr>
        <w:tc>
          <w:tcPr>
            <w:tcW w:w="5000" w:type="pct"/>
            <w:tcMar>
              <w:top w:w="100" w:type="dxa"/>
              <w:left w:w="0" w:type="dxa"/>
              <w:bottom w:w="200" w:type="dxa"/>
              <w:right w:w="300" w:type="dxa"/>
            </w:tcMar>
          </w:tcPr>
          <w:p w14:paraId="29CA041B" w14:textId="77777777" w:rsidR="00701EA7" w:rsidRDefault="007D7FDA">
            <w:pPr>
              <w:spacing w:after="60"/>
            </w:pPr>
            <w:r>
              <w:rPr>
                <w:rFonts w:ascii="Aptos" w:eastAsia="Aptos" w:hAnsi="Aptos" w:cs="Aptos"/>
                <w:b/>
                <w:bCs/>
                <w:color w:val="DF5F4D"/>
                <w:spacing w:val="14"/>
                <w:sz w:val="18"/>
                <w:szCs w:val="18"/>
              </w:rPr>
              <w:t>NOTICE OF APPEAL</w:t>
            </w:r>
          </w:p>
          <w:p w14:paraId="29CA041C" w14:textId="77777777" w:rsidR="00701EA7" w:rsidRDefault="007D7FDA">
            <w:pPr>
              <w:pBdr>
                <w:bottom w:val="single" w:sz="4" w:space="4" w:color="B9B8B9"/>
              </w:pBdr>
            </w:pPr>
            <w:r>
              <w:rPr>
                <w:rFonts w:ascii="Aptos" w:eastAsia="Aptos" w:hAnsi="Aptos" w:cs="Aptos"/>
                <w:color w:val="7C7C81"/>
              </w:rPr>
              <w:t>Must be submitted in writing to [HR / the named contact] within [e.g. five working days] of receipt of the redundancy confirmation letter</w:t>
            </w:r>
          </w:p>
        </w:tc>
      </w:tr>
      <w:tr w:rsidR="00701EA7" w14:paraId="29CA0420" w14:textId="77777777">
        <w:trPr>
          <w:cantSplit/>
        </w:trPr>
        <w:tc>
          <w:tcPr>
            <w:tcW w:w="5000" w:type="pct"/>
            <w:tcMar>
              <w:top w:w="100" w:type="dxa"/>
              <w:left w:w="0" w:type="dxa"/>
              <w:bottom w:w="200" w:type="dxa"/>
              <w:right w:w="300" w:type="dxa"/>
            </w:tcMar>
          </w:tcPr>
          <w:p w14:paraId="29CA041E" w14:textId="77777777" w:rsidR="00701EA7" w:rsidRDefault="007D7FDA">
            <w:pPr>
              <w:spacing w:after="60"/>
            </w:pPr>
            <w:r>
              <w:rPr>
                <w:rFonts w:ascii="Aptos" w:eastAsia="Aptos" w:hAnsi="Aptos" w:cs="Aptos"/>
                <w:b/>
                <w:bCs/>
                <w:color w:val="DF5F4D"/>
                <w:spacing w:val="14"/>
                <w:sz w:val="18"/>
                <w:szCs w:val="18"/>
              </w:rPr>
              <w:t>GROUNDS</w:t>
            </w:r>
          </w:p>
          <w:p w14:paraId="29CA041F" w14:textId="77777777" w:rsidR="00701EA7" w:rsidRDefault="007D7FDA">
            <w:pPr>
              <w:pBdr>
                <w:bottom w:val="single" w:sz="4" w:space="4" w:color="B9B8B9"/>
              </w:pBdr>
            </w:pPr>
            <w:r>
              <w:rPr>
                <w:rFonts w:ascii="Aptos" w:eastAsia="Aptos" w:hAnsi="Aptos" w:cs="Aptos"/>
                <w:color w:val="7C7C81"/>
              </w:rPr>
              <w:t>Must state the grounds of appeal - e.g. challenge to the selection criteria, the selection score, the pool definition, the adequacy of consultation, or the consideration of alternatives</w:t>
            </w:r>
          </w:p>
        </w:tc>
      </w:tr>
      <w:tr w:rsidR="00701EA7" w14:paraId="29CA0423" w14:textId="77777777">
        <w:trPr>
          <w:cantSplit/>
        </w:trPr>
        <w:tc>
          <w:tcPr>
            <w:tcW w:w="5000" w:type="pct"/>
            <w:tcMar>
              <w:top w:w="100" w:type="dxa"/>
              <w:left w:w="0" w:type="dxa"/>
              <w:bottom w:w="200" w:type="dxa"/>
              <w:right w:w="300" w:type="dxa"/>
            </w:tcMar>
          </w:tcPr>
          <w:p w14:paraId="29CA0421" w14:textId="77777777" w:rsidR="00701EA7" w:rsidRDefault="007D7FDA">
            <w:pPr>
              <w:spacing w:after="60"/>
            </w:pPr>
            <w:r>
              <w:rPr>
                <w:rFonts w:ascii="Aptos" w:eastAsia="Aptos" w:hAnsi="Aptos" w:cs="Aptos"/>
                <w:b/>
                <w:bCs/>
                <w:color w:val="DF5F4D"/>
                <w:spacing w:val="14"/>
                <w:sz w:val="18"/>
                <w:szCs w:val="18"/>
              </w:rPr>
              <w:t>APPEAL HEARING</w:t>
            </w:r>
          </w:p>
          <w:p w14:paraId="29CA0422" w14:textId="77777777" w:rsidR="00701EA7" w:rsidRDefault="007D7FDA">
            <w:pPr>
              <w:pBdr>
                <w:bottom w:val="single" w:sz="4" w:space="4" w:color="B9B8B9"/>
              </w:pBdr>
            </w:pPr>
            <w:r>
              <w:rPr>
                <w:rFonts w:ascii="Aptos" w:eastAsia="Aptos" w:hAnsi="Aptos" w:cs="Aptos"/>
                <w:color w:val="7C7C81"/>
              </w:rPr>
              <w:t>Will be held by a manager not involved in the original decision, within [e.g. ten working days] of receipt of the appeal</w:t>
            </w:r>
          </w:p>
        </w:tc>
      </w:tr>
      <w:tr w:rsidR="00701EA7" w14:paraId="29CA0426" w14:textId="77777777">
        <w:trPr>
          <w:cantSplit/>
        </w:trPr>
        <w:tc>
          <w:tcPr>
            <w:tcW w:w="5000" w:type="pct"/>
            <w:tcMar>
              <w:top w:w="100" w:type="dxa"/>
              <w:left w:w="0" w:type="dxa"/>
              <w:bottom w:w="200" w:type="dxa"/>
              <w:right w:w="300" w:type="dxa"/>
            </w:tcMar>
          </w:tcPr>
          <w:p w14:paraId="29CA0424" w14:textId="77777777" w:rsidR="00701EA7" w:rsidRDefault="007D7FDA">
            <w:pPr>
              <w:spacing w:after="60"/>
            </w:pPr>
            <w:r>
              <w:rPr>
                <w:rFonts w:ascii="Aptos" w:eastAsia="Aptos" w:hAnsi="Aptos" w:cs="Aptos"/>
                <w:b/>
                <w:bCs/>
                <w:color w:val="DF5F4D"/>
                <w:spacing w:val="14"/>
                <w:sz w:val="18"/>
                <w:szCs w:val="18"/>
              </w:rPr>
              <w:t>RIGHT TO BE ACCOMPANIED</w:t>
            </w:r>
          </w:p>
          <w:p w14:paraId="29CA0425" w14:textId="77777777" w:rsidR="00701EA7" w:rsidRDefault="007D7FDA">
            <w:pPr>
              <w:pBdr>
                <w:bottom w:val="single" w:sz="4" w:space="4" w:color="B9B8B9"/>
              </w:pBdr>
            </w:pPr>
            <w:r>
              <w:rPr>
                <w:rFonts w:ascii="Aptos" w:eastAsia="Aptos" w:hAnsi="Aptos" w:cs="Aptos"/>
                <w:color w:val="7C7C81"/>
              </w:rPr>
              <w:t>The employee has the right to be accompanied by a work colleague or trade union representative at the appeal hearing</w:t>
            </w:r>
          </w:p>
        </w:tc>
      </w:tr>
      <w:tr w:rsidR="00701EA7" w14:paraId="29CA0429" w14:textId="77777777">
        <w:trPr>
          <w:cantSplit/>
        </w:trPr>
        <w:tc>
          <w:tcPr>
            <w:tcW w:w="5000" w:type="pct"/>
            <w:tcMar>
              <w:top w:w="100" w:type="dxa"/>
              <w:left w:w="0" w:type="dxa"/>
              <w:bottom w:w="200" w:type="dxa"/>
              <w:right w:w="300" w:type="dxa"/>
            </w:tcMar>
          </w:tcPr>
          <w:p w14:paraId="29CA0427" w14:textId="77777777" w:rsidR="00701EA7" w:rsidRDefault="007D7FDA">
            <w:pPr>
              <w:spacing w:after="60"/>
            </w:pPr>
            <w:r>
              <w:rPr>
                <w:rFonts w:ascii="Aptos" w:eastAsia="Aptos" w:hAnsi="Aptos" w:cs="Aptos"/>
                <w:b/>
                <w:bCs/>
                <w:color w:val="DF5F4D"/>
                <w:spacing w:val="14"/>
                <w:sz w:val="18"/>
                <w:szCs w:val="18"/>
              </w:rPr>
              <w:t>OUTCOME</w:t>
            </w:r>
          </w:p>
          <w:p w14:paraId="29CA0428" w14:textId="77777777" w:rsidR="00701EA7" w:rsidRDefault="007D7FDA">
            <w:pPr>
              <w:pBdr>
                <w:bottom w:val="single" w:sz="4" w:space="4" w:color="B9B8B9"/>
              </w:pBdr>
            </w:pPr>
            <w:r>
              <w:rPr>
                <w:rFonts w:ascii="Aptos" w:eastAsia="Aptos" w:hAnsi="Aptos" w:cs="Aptos"/>
                <w:color w:val="7C7C81"/>
              </w:rPr>
              <w:t>Will be confirmed in writing within [e.g. five working days] of the hearing. The appeal decision is final within the internal process.</w:t>
            </w:r>
          </w:p>
        </w:tc>
      </w:tr>
    </w:tbl>
    <w:p w14:paraId="29CA042A" w14:textId="77777777" w:rsidR="00701EA7" w:rsidRDefault="007D7FDA">
      <w:pPr>
        <w:keepNext/>
        <w:keepLines/>
        <w:spacing w:before="200" w:after="40"/>
      </w:pPr>
      <w:r>
        <w:rPr>
          <w:rFonts w:ascii="Aptos" w:eastAsia="Aptos" w:hAnsi="Aptos" w:cs="Aptos"/>
          <w:b/>
          <w:bCs/>
          <w:color w:val="DF5F4D"/>
          <w:spacing w:val="20"/>
        </w:rPr>
        <w:t>SECTION 10</w:t>
      </w:r>
    </w:p>
    <w:p w14:paraId="29CA042B" w14:textId="77777777" w:rsidR="00701EA7" w:rsidRDefault="007D7FDA">
      <w:pPr>
        <w:keepNext/>
        <w:keepLines/>
      </w:pPr>
      <w:r>
        <w:rPr>
          <w:rFonts w:ascii="Aptos" w:eastAsia="Aptos" w:hAnsi="Aptos" w:cs="Aptos"/>
          <w:b/>
          <w:bCs/>
          <w:color w:val="7C7C81"/>
          <w:sz w:val="24"/>
          <w:szCs w:val="24"/>
        </w:rPr>
        <w:t>Support for Employees at Risk of or Subject to Redundancy</w:t>
      </w:r>
    </w:p>
    <w:p w14:paraId="29CA042C" w14:textId="77777777" w:rsidR="00701EA7" w:rsidRDefault="00701EA7">
      <w:pPr>
        <w:keepNext/>
        <w:pBdr>
          <w:bottom w:val="single" w:sz="6" w:space="1" w:color="B9B8B9"/>
        </w:pBdr>
        <w:spacing w:after="120"/>
      </w:pPr>
    </w:p>
    <w:p w14:paraId="29CA042D" w14:textId="77777777" w:rsidR="00701EA7" w:rsidRDefault="007D7FDA">
      <w:pPr>
        <w:spacing w:after="160" w:line="264" w:lineRule="auto"/>
      </w:pPr>
      <w:r>
        <w:rPr>
          <w:rFonts w:ascii="Aptos" w:eastAsia="Aptos" w:hAnsi="Aptos" w:cs="Aptos"/>
          <w:color w:val="7C7C81"/>
        </w:rPr>
        <w:t>The organisation recognises that redundancy is a stressful and unsettling experience. We are committed to providing genuine, practical support to all employees who are at risk of or confirmed for redundancy.</w:t>
      </w:r>
    </w:p>
    <w:p w14:paraId="29CA042E" w14:textId="77777777" w:rsidR="00701EA7" w:rsidRDefault="007D7FDA">
      <w:pPr>
        <w:spacing w:after="160" w:line="264" w:lineRule="auto"/>
      </w:pPr>
      <w:r>
        <w:rPr>
          <w:rFonts w:ascii="Aptos" w:eastAsia="Aptos" w:hAnsi="Aptos" w:cs="Aptos"/>
          <w:color w:val="7C7C81"/>
        </w:rPr>
        <w:t>Following a redundancy exercise, managers will provide appropriate support to remaining employees, including communication, workload review and wellbeing support.</w:t>
      </w:r>
    </w:p>
    <w:p w14:paraId="29CA042F" w14:textId="77777777" w:rsidR="00701EA7" w:rsidRDefault="007D7FDA">
      <w:pPr>
        <w:keepNext/>
        <w:keepLines/>
        <w:spacing w:before="220" w:after="100"/>
      </w:pPr>
      <w:r>
        <w:rPr>
          <w:rFonts w:ascii="Aptos" w:eastAsia="Aptos" w:hAnsi="Aptos" w:cs="Aptos"/>
          <w:color w:val="DF5F4D"/>
        </w:rPr>
        <w:lastRenderedPageBreak/>
        <w:t xml:space="preserve">▪ </w:t>
      </w:r>
      <w:r>
        <w:rPr>
          <w:rFonts w:ascii="Aptos" w:eastAsia="Aptos" w:hAnsi="Aptos" w:cs="Aptos"/>
          <w:b/>
          <w:bCs/>
          <w:color w:val="7C7C81"/>
        </w:rPr>
        <w:t>Wellbeing Support</w:t>
      </w:r>
    </w:p>
    <w:p w14:paraId="29CA0430" w14:textId="499187C5"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Access to the Employee Assistance Programme (EAP) - confidential, 24/7 support including counselling, financial and legal advice: [EAP contact details]</w:t>
      </w:r>
    </w:p>
    <w:p w14:paraId="29CA0431" w14:textId="301BAE5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Occupational Health referral where appropriate - available through HR</w:t>
      </w:r>
    </w:p>
    <w:p w14:paraId="29CA0432" w14:textId="7B0EA7E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Regular, supportive one-to-one contact with HR throughout the process</w:t>
      </w:r>
    </w:p>
    <w:p w14:paraId="29CA0433" w14:textId="330EE8E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named HR point of contact for every individual at risk - available to answer questions, provide guidance and offer pastoral support</w:t>
      </w:r>
    </w:p>
    <w:p w14:paraId="3633F2BE" w14:textId="77777777" w:rsidR="006158F4" w:rsidRDefault="006158F4" w:rsidP="006158F4">
      <w:pPr>
        <w:rPr>
          <w:rFonts w:ascii="Aptos" w:eastAsia="Aptos" w:hAnsi="Aptos" w:cs="Aptos"/>
          <w:color w:val="DF5F4D"/>
        </w:rPr>
      </w:pPr>
    </w:p>
    <w:p w14:paraId="29CA0434" w14:textId="595F4055" w:rsidR="00701EA7" w:rsidRDefault="007D7FDA" w:rsidP="006158F4">
      <w:r>
        <w:rPr>
          <w:rFonts w:ascii="Aptos" w:eastAsia="Aptos" w:hAnsi="Aptos" w:cs="Aptos"/>
          <w:color w:val="DF5F4D"/>
        </w:rPr>
        <w:t xml:space="preserve">▪ </w:t>
      </w:r>
      <w:r>
        <w:rPr>
          <w:rFonts w:ascii="Aptos" w:eastAsia="Aptos" w:hAnsi="Aptos" w:cs="Aptos"/>
          <w:b/>
          <w:bCs/>
          <w:color w:val="7C7C81"/>
        </w:rPr>
        <w:t>Practical Job Search Support</w:t>
      </w:r>
    </w:p>
    <w:p w14:paraId="29CA0435" w14:textId="4B3E9E9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[Outplacement support - describe any external outplacement service the organisation provides, including duration and scope, or remove if not applicable]</w:t>
      </w:r>
    </w:p>
    <w:p w14:paraId="29CA0436" w14:textId="190ED6F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CV review and career development advice - available from [HR / an external provider / White Cube Consulting]</w:t>
      </w:r>
    </w:p>
    <w:p w14:paraId="29CA0437" w14:textId="2B4ADD6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Time off to attend interviews, job fairs or training as provided under section 52 ERA 1996</w:t>
      </w:r>
    </w:p>
    <w:p w14:paraId="29CA0438" w14:textId="36024A10"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[Access to job boards, professional networks, recruitment agency introductions - or remove if not applicable]</w:t>
      </w:r>
    </w:p>
    <w:p w14:paraId="29CA0439"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Financial Guidance</w:t>
      </w:r>
    </w:p>
    <w:p w14:paraId="29CA043A" w14:textId="7D5604E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Clear written summary of all payments due - including redundancy pay, notice pay, accrued holiday pay and any other entitlements</w:t>
      </w:r>
    </w:p>
    <w:p w14:paraId="29CA043B" w14:textId="17CA115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Access to financial wellbeing advice through the EAP</w:t>
      </w:r>
    </w:p>
    <w:p w14:paraId="29CA043C" w14:textId="3759FCE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Early contact with the Pensions Administrator to understand the implications for pension arrangements</w:t>
      </w:r>
    </w:p>
    <w:p w14:paraId="29CA043D" w14:textId="77777777" w:rsidR="00701EA7" w:rsidRDefault="007D7FDA">
      <w:pPr>
        <w:keepNext/>
        <w:keepLines/>
        <w:spacing w:before="200" w:after="40"/>
      </w:pPr>
      <w:r>
        <w:rPr>
          <w:rFonts w:ascii="Aptos" w:eastAsia="Aptos" w:hAnsi="Aptos" w:cs="Aptos"/>
          <w:b/>
          <w:bCs/>
          <w:color w:val="DF5F4D"/>
          <w:spacing w:val="20"/>
        </w:rPr>
        <w:t>SECTION 11</w:t>
      </w:r>
    </w:p>
    <w:p w14:paraId="29CA043E" w14:textId="77777777" w:rsidR="00701EA7" w:rsidRDefault="007D7FDA">
      <w:pPr>
        <w:keepNext/>
        <w:keepLines/>
      </w:pPr>
      <w:r>
        <w:rPr>
          <w:rFonts w:ascii="Aptos" w:eastAsia="Aptos" w:hAnsi="Aptos" w:cs="Aptos"/>
          <w:b/>
          <w:bCs/>
          <w:color w:val="7C7C81"/>
          <w:sz w:val="24"/>
          <w:szCs w:val="24"/>
        </w:rPr>
        <w:t>Special Circumstances and Protected Groups</w:t>
      </w:r>
    </w:p>
    <w:p w14:paraId="29CA043F" w14:textId="77777777" w:rsidR="00701EA7" w:rsidRDefault="00701EA7">
      <w:pPr>
        <w:keepNext/>
        <w:pBdr>
          <w:bottom w:val="single" w:sz="6" w:space="1" w:color="B9B8B9"/>
        </w:pBdr>
        <w:spacing w:after="120"/>
      </w:pPr>
    </w:p>
    <w:p w14:paraId="29CA0440" w14:textId="77777777" w:rsidR="00701EA7" w:rsidRDefault="007D7FDA">
      <w:pPr>
        <w:spacing w:before="150" w:after="160" w:line="264" w:lineRule="auto"/>
      </w:pPr>
      <w:r>
        <w:rPr>
          <w:rFonts w:ascii="Aptos" w:eastAsia="Aptos" w:hAnsi="Aptos" w:cs="Aptos"/>
          <w:color w:val="7C7C81"/>
        </w:rPr>
        <w:t>The following situations require particular care and specialist HR advice:</w:t>
      </w:r>
    </w:p>
    <w:p w14:paraId="29CA0441"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Pregnancy, Maternity and Family Leave</w:t>
      </w:r>
    </w:p>
    <w:p w14:paraId="29CA0442" w14:textId="77777777" w:rsidR="00701EA7" w:rsidRDefault="007D7FDA">
      <w:pPr>
        <w:spacing w:after="160" w:line="264" w:lineRule="auto"/>
      </w:pPr>
      <w:r>
        <w:rPr>
          <w:rFonts w:ascii="Aptos" w:eastAsia="Aptos" w:hAnsi="Aptos" w:cs="Aptos"/>
          <w:color w:val="7C7C81"/>
        </w:rPr>
        <w:t>Employees who are pregnant, on maternity leave, on adoption leave or on shared parental leave are afforded significant additional legal protections. In particular:</w:t>
      </w:r>
    </w:p>
    <w:p w14:paraId="29CA0443" w14:textId="194DBCC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Selecting an employee for redundancy because they are pregnant or on maternity leave constitutes automatically unfair dismissal and pregnancy discrimination under the Equality Act 2010</w:t>
      </w:r>
    </w:p>
    <w:p w14:paraId="29CA0444" w14:textId="4D15BC6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An employee on maternity leave whose role is made redundant has the right to be offered any suitable alternative vacancy that exists - in priority over other candidates, including candidates not on maternity leave (Regulation 10, Maternity and Parental Leave etc. Regulations 1999)</w:t>
      </w:r>
    </w:p>
    <w:p w14:paraId="29CA0445" w14:textId="1A3EA688"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The protective period extends beyond maternity leave - under the Maternity Leave, Adoption Leave and Shared Parental Leave (Amendment) Regulations 2024, this priority right to suitable alternative vacancies extends for 18 months from the start of pregnancy (where the employer was notified of the pregnancy) or from the expected week of childbirth</w:t>
      </w:r>
    </w:p>
    <w:p w14:paraId="29CA0446" w14:textId="1980F4E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[IMPORTANT: These protections are among the most legally significant in redundancy law. Always take specialist HR and legal advice before proceeding with any redundancy that affects an employee who is pregnant or on family leave.]</w:t>
      </w:r>
    </w:p>
    <w:p w14:paraId="29CA0447" w14:textId="77777777" w:rsidR="00701EA7" w:rsidRDefault="007D7FDA">
      <w:pPr>
        <w:pBdr>
          <w:left w:val="single" w:sz="18" w:space="10" w:color="DF5F4D"/>
        </w:pBdr>
        <w:spacing w:line="264" w:lineRule="auto"/>
        <w:ind w:left="260"/>
      </w:pPr>
      <w:r>
        <w:rPr>
          <w:rFonts w:ascii="Aptos" w:eastAsia="Aptos" w:hAnsi="Aptos" w:cs="Aptos"/>
          <w:color w:val="7C7C81"/>
        </w:rPr>
        <w:t>Selecting someone for redundancy because they are pregnant or on maternity leave is automatically unfair dismissal and an act of pregnancy discrimination. There is no qualifying period of service and there is no cap on compensation. This is one of the highest-risk areas in employment law - always take legal advice.</w:t>
      </w:r>
    </w:p>
    <w:p w14:paraId="1034AE74" w14:textId="77777777" w:rsidR="006158F4" w:rsidRDefault="006158F4">
      <w:pPr>
        <w:rPr>
          <w:rFonts w:ascii="Aptos" w:eastAsia="Aptos" w:hAnsi="Aptos" w:cs="Aptos"/>
          <w:color w:val="DF5F4D"/>
        </w:rPr>
      </w:pPr>
      <w:r>
        <w:rPr>
          <w:rFonts w:ascii="Aptos" w:eastAsia="Aptos" w:hAnsi="Aptos" w:cs="Aptos"/>
          <w:color w:val="DF5F4D"/>
        </w:rPr>
        <w:br w:type="page"/>
      </w:r>
    </w:p>
    <w:p w14:paraId="29CA0448" w14:textId="01F43227" w:rsidR="00701EA7" w:rsidRDefault="007D7FDA">
      <w:pPr>
        <w:keepNext/>
        <w:keepLines/>
        <w:spacing w:before="220" w:after="100"/>
      </w:pPr>
      <w:r>
        <w:rPr>
          <w:rFonts w:ascii="Aptos" w:eastAsia="Aptos" w:hAnsi="Aptos" w:cs="Aptos"/>
          <w:color w:val="DF5F4D"/>
        </w:rPr>
        <w:lastRenderedPageBreak/>
        <w:t xml:space="preserve">▪ </w:t>
      </w:r>
      <w:r>
        <w:rPr>
          <w:rFonts w:ascii="Aptos" w:eastAsia="Aptos" w:hAnsi="Aptos" w:cs="Aptos"/>
          <w:b/>
          <w:bCs/>
          <w:color w:val="7C7C81"/>
        </w:rPr>
        <w:t>Disability</w:t>
      </w:r>
    </w:p>
    <w:p w14:paraId="29CA0449" w14:textId="77777777" w:rsidR="00701EA7" w:rsidRDefault="007D7FDA">
      <w:pPr>
        <w:spacing w:before="150" w:after="160" w:line="264" w:lineRule="auto"/>
      </w:pPr>
      <w:r>
        <w:rPr>
          <w:rFonts w:ascii="Aptos" w:eastAsia="Aptos" w:hAnsi="Aptos" w:cs="Aptos"/>
          <w:color w:val="7C7C81"/>
        </w:rPr>
        <w:t>Employees with a disability (as defined by the Equality Act 2010) must not be selected for redundancy on the basis of their disability or any reason related to it. The organisation must also consider whether any selection criteria (for example, attendance records) may have a disproportionate adverse impact on disabled employees and, if so, make reasonable adjustments.</w:t>
      </w:r>
    </w:p>
    <w:p w14:paraId="29CA044A"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Part-Time Employees and Fixed-Term Employees</w:t>
      </w:r>
    </w:p>
    <w:p w14:paraId="29CA044B" w14:textId="77777777" w:rsidR="00701EA7" w:rsidRDefault="007D7FDA">
      <w:pPr>
        <w:spacing w:after="160" w:line="264" w:lineRule="auto"/>
      </w:pPr>
      <w:r>
        <w:rPr>
          <w:rFonts w:ascii="Aptos" w:eastAsia="Aptos" w:hAnsi="Aptos" w:cs="Aptos"/>
          <w:color w:val="7C7C81"/>
        </w:rPr>
        <w:t>The Part-Time Workers (Prevention of Less Favourable Treatment) Regulations 2000 and the Fixed-Term Employees (Prevention of Less Favourable Treatment) Regulations 2002 prohibit treating part-time and fixed-term employees less favourably than comparable full-time and permanent employees without objective justification. This includes in the context of redundancy selection.</w:t>
      </w:r>
    </w:p>
    <w:p w14:paraId="29CA044C"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Trade Union Representatives</w:t>
      </w:r>
    </w:p>
    <w:p w14:paraId="29CA044D" w14:textId="77777777" w:rsidR="00701EA7" w:rsidRDefault="007D7FDA">
      <w:pPr>
        <w:spacing w:after="160" w:line="264" w:lineRule="auto"/>
      </w:pPr>
      <w:r>
        <w:rPr>
          <w:rFonts w:ascii="Aptos" w:eastAsia="Aptos" w:hAnsi="Aptos" w:cs="Aptos"/>
          <w:color w:val="7C7C81"/>
        </w:rPr>
        <w:t>Selecting a recognised trade union representative for redundancy because of their trade union activities, or carrying out redundancy selection in a way that disproportionately targets union representatives, may constitute unlawful detriment under TULRCA 1992 and automatically unfair dismissal. Take specialist advice where any at-risk employee is a trade union representative.</w:t>
      </w:r>
    </w:p>
    <w:p w14:paraId="29CA044E" w14:textId="77777777" w:rsidR="00701EA7" w:rsidRDefault="007D7FDA">
      <w:pPr>
        <w:keepNext/>
        <w:keepLines/>
        <w:spacing w:before="200" w:after="40"/>
      </w:pPr>
      <w:r>
        <w:rPr>
          <w:rFonts w:ascii="Aptos" w:eastAsia="Aptos" w:hAnsi="Aptos" w:cs="Aptos"/>
          <w:b/>
          <w:bCs/>
          <w:color w:val="DF5F4D"/>
          <w:spacing w:val="20"/>
        </w:rPr>
        <w:t>SECTION 12</w:t>
      </w:r>
    </w:p>
    <w:p w14:paraId="29CA044F" w14:textId="77777777" w:rsidR="00701EA7" w:rsidRDefault="007D7FDA">
      <w:pPr>
        <w:keepNext/>
        <w:keepLines/>
      </w:pPr>
      <w:r>
        <w:rPr>
          <w:rFonts w:ascii="Aptos" w:eastAsia="Aptos" w:hAnsi="Aptos" w:cs="Aptos"/>
          <w:b/>
          <w:bCs/>
          <w:color w:val="7C7C81"/>
          <w:sz w:val="24"/>
          <w:szCs w:val="24"/>
        </w:rPr>
        <w:t>TUPE - Transfer of Undertakings</w:t>
      </w:r>
    </w:p>
    <w:p w14:paraId="29CA0450" w14:textId="77777777" w:rsidR="00701EA7" w:rsidRDefault="00701EA7">
      <w:pPr>
        <w:keepNext/>
        <w:pBdr>
          <w:bottom w:val="single" w:sz="6" w:space="1" w:color="B9B8B9"/>
        </w:pBdr>
        <w:spacing w:after="120"/>
      </w:pPr>
    </w:p>
    <w:p w14:paraId="29CA0451" w14:textId="77777777" w:rsidR="00701EA7" w:rsidRDefault="007D7FDA">
      <w:pPr>
        <w:spacing w:after="160" w:line="264" w:lineRule="auto"/>
      </w:pPr>
      <w:r>
        <w:rPr>
          <w:rFonts w:ascii="Aptos" w:eastAsia="Aptos" w:hAnsi="Aptos" w:cs="Aptos"/>
          <w:color w:val="7C7C81"/>
        </w:rPr>
        <w:t>Where a business transfer (or a service provision change) takes place, the Transfer of Undertakings (Protection of Employment) Regulations 2006 (TUPE) may apply. TUPE is a complex and technically demanding area of law. The following overview is for general guidance only - specialist legal advice must always be taken in any situation that may involve a TUPE transfer.</w:t>
      </w:r>
    </w:p>
    <w:p w14:paraId="29CA0452" w14:textId="2B47BCD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Where TUPE applies, employees automatically transfer to the new employer with their existing terms and conditions intact</w:t>
      </w:r>
    </w:p>
    <w:p w14:paraId="29CA0453" w14:textId="3D99C42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dismissal that is connected with a TUPE transfer is automatically unfair unless it is for an Economic, Technical or Organisational (ETO) reason entailing changes in the workforce - this is a very limited exception</w:t>
      </w:r>
    </w:p>
    <w:p w14:paraId="29CA0454" w14:textId="72746CB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 change to terms and conditions of employment connected with the transfer (other than an ETO reason) is void</w:t>
      </w:r>
    </w:p>
    <w:p w14:paraId="29CA0455" w14:textId="498DBEF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Both the transferor (outgoing employer) and the transferee (incoming employer) have obligations to inform and consult employee representatives before the transfer</w:t>
      </w:r>
    </w:p>
    <w:p w14:paraId="29CA0456" w14:textId="78C3B75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Failure to comply with TUPE consultation obligations may result in compensation of up to 13 weeks' actual pay per affected employee</w:t>
      </w:r>
    </w:p>
    <w:p w14:paraId="29CA0457" w14:textId="77777777" w:rsidR="00701EA7" w:rsidRDefault="007D7FDA">
      <w:pPr>
        <w:pBdr>
          <w:left w:val="single" w:sz="18" w:space="10" w:color="DF5F4D"/>
        </w:pBdr>
        <w:spacing w:line="264" w:lineRule="auto"/>
        <w:ind w:left="260"/>
      </w:pPr>
      <w:r>
        <w:rPr>
          <w:rFonts w:ascii="Aptos" w:eastAsia="Aptos" w:hAnsi="Aptos" w:cs="Aptos"/>
          <w:color w:val="7C7C81"/>
        </w:rPr>
        <w:t>TUPE is one of the most complex areas of UK employment law. If any element of a proposed restructuring or redundancy involves a business transfer, outsourcing, insourcing, franchise or service provision change - take specialist employment law advice before proceeding with any element of the process.</w:t>
      </w:r>
    </w:p>
    <w:p w14:paraId="5E055DEC" w14:textId="77777777" w:rsidR="006158F4" w:rsidRDefault="006158F4">
      <w:pPr>
        <w:rPr>
          <w:rFonts w:ascii="Aptos" w:eastAsia="Aptos" w:hAnsi="Aptos" w:cs="Aptos"/>
          <w:b/>
          <w:bCs/>
          <w:color w:val="DF5F4D"/>
          <w:spacing w:val="20"/>
        </w:rPr>
      </w:pPr>
      <w:r>
        <w:rPr>
          <w:rFonts w:ascii="Aptos" w:eastAsia="Aptos" w:hAnsi="Aptos" w:cs="Aptos"/>
          <w:b/>
          <w:bCs/>
          <w:color w:val="DF5F4D"/>
          <w:spacing w:val="20"/>
        </w:rPr>
        <w:br w:type="page"/>
      </w:r>
    </w:p>
    <w:p w14:paraId="29CA0458" w14:textId="50155908" w:rsidR="00701EA7" w:rsidRDefault="007D7FDA">
      <w:pPr>
        <w:keepNext/>
        <w:keepLines/>
        <w:spacing w:before="200" w:after="40"/>
      </w:pPr>
      <w:r>
        <w:rPr>
          <w:rFonts w:ascii="Aptos" w:eastAsia="Aptos" w:hAnsi="Aptos" w:cs="Aptos"/>
          <w:b/>
          <w:bCs/>
          <w:color w:val="DF5F4D"/>
          <w:spacing w:val="20"/>
        </w:rPr>
        <w:lastRenderedPageBreak/>
        <w:t>SECTION 13</w:t>
      </w:r>
    </w:p>
    <w:p w14:paraId="29CA0459" w14:textId="77777777" w:rsidR="00701EA7" w:rsidRDefault="007D7FDA">
      <w:pPr>
        <w:keepNext/>
        <w:keepLines/>
      </w:pPr>
      <w:r>
        <w:rPr>
          <w:rFonts w:ascii="Aptos" w:eastAsia="Aptos" w:hAnsi="Aptos" w:cs="Aptos"/>
          <w:b/>
          <w:bCs/>
          <w:color w:val="7C7C81"/>
          <w:sz w:val="24"/>
          <w:szCs w:val="24"/>
        </w:rPr>
        <w:t>Responsibilities</w:t>
      </w:r>
    </w:p>
    <w:p w14:paraId="29CA045A" w14:textId="77777777" w:rsidR="00701EA7" w:rsidRDefault="00701EA7">
      <w:pPr>
        <w:keepNext/>
        <w:pBdr>
          <w:bottom w:val="single" w:sz="6" w:space="1" w:color="B9B8B9"/>
        </w:pBdr>
        <w:spacing w:after="120"/>
      </w:pPr>
    </w:p>
    <w:p w14:paraId="29CA045B"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Senior Management</w:t>
      </w:r>
    </w:p>
    <w:p w14:paraId="29CA045C" w14:textId="22C69B2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Provide the clear and genuine business case underpinning the proposal</w:t>
      </w:r>
    </w:p>
    <w:p w14:paraId="29CA045D" w14:textId="26D3B7D2"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Make the final decisions on restructuring and redundancy in consultation with HR</w:t>
      </w:r>
    </w:p>
    <w:p w14:paraId="29CA045E" w14:textId="5F20BA0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Communicate the business case clearly, honestly and respectfully to affected employees</w:t>
      </w:r>
    </w:p>
    <w:p w14:paraId="29CA045F" w14:textId="1035E738"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Ensure that the process is resourced and managed effectively throughout</w:t>
      </w:r>
    </w:p>
    <w:p w14:paraId="29CA0460"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HR</w:t>
      </w:r>
    </w:p>
    <w:p w14:paraId="29CA0461" w14:textId="74D1C4C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Advise on all aspects of the redundancy process and ensure legal compliance throughout</w:t>
      </w:r>
    </w:p>
    <w:p w14:paraId="29CA0462" w14:textId="3915BA8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Define and review selection pools and criteria with senior management</w:t>
      </w:r>
    </w:p>
    <w:p w14:paraId="29CA0463" w14:textId="6DE87FF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Conduct or support individual consultation meetings</w:t>
      </w:r>
    </w:p>
    <w:p w14:paraId="29CA0464" w14:textId="149C1B61"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Manage collective consultation arrangements where applicable, including trade union or employee representative liaison</w:t>
      </w:r>
    </w:p>
    <w:p w14:paraId="29CA0465" w14:textId="138650D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Calculate and confirm statutory and contractual redundancy pay entitlements</w:t>
      </w:r>
    </w:p>
    <w:p w14:paraId="29CA0466" w14:textId="7F9A316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Manage Form HR1 notifications to the Secretary of State where collective consultation obligations are triggered</w:t>
      </w:r>
    </w:p>
    <w:p w14:paraId="29CA0467" w14:textId="6FAD05A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Coordinate alternative employment searches and any redeployment arrangements</w:t>
      </w:r>
    </w:p>
    <w:p w14:paraId="29CA0468" w14:textId="6CBB9C0B"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Coordinate and oversee the appeals process</w:t>
      </w:r>
    </w:p>
    <w:p w14:paraId="29CA0469" w14:textId="5C9C18DD"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Provide pastoral support to affected employees throughout the process</w:t>
      </w:r>
    </w:p>
    <w:p w14:paraId="29CA046A" w14:textId="77777777" w:rsidR="00701EA7" w:rsidRDefault="007D7FDA">
      <w:pPr>
        <w:keepNext/>
        <w:keepLines/>
        <w:spacing w:before="220" w:after="100"/>
      </w:pPr>
      <w:r>
        <w:rPr>
          <w:rFonts w:ascii="Aptos" w:eastAsia="Aptos" w:hAnsi="Aptos" w:cs="Aptos"/>
          <w:color w:val="DF5F4D"/>
        </w:rPr>
        <w:t xml:space="preserve">▪ </w:t>
      </w:r>
      <w:r>
        <w:rPr>
          <w:rFonts w:ascii="Aptos" w:eastAsia="Aptos" w:hAnsi="Aptos" w:cs="Aptos"/>
          <w:b/>
          <w:bCs/>
          <w:color w:val="7C7C81"/>
        </w:rPr>
        <w:t>Line Managers</w:t>
      </w:r>
    </w:p>
    <w:p w14:paraId="29CA046B" w14:textId="2B9079A4"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Treat all at-risk employees with sensitivity, dignity and respect throughout the process</w:t>
      </w:r>
    </w:p>
    <w:p w14:paraId="29CA046C" w14:textId="28B90ACA"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Attend and participate in individual consultation meetings as required</w:t>
      </w:r>
    </w:p>
    <w:p w14:paraId="29CA046D" w14:textId="68F0DCD0"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Maintain normal management contact with at-risk employees and not isolate or avoid them</w:t>
      </w:r>
    </w:p>
    <w:p w14:paraId="29CA046E" w14:textId="60CDB227"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Refer any queries about process, entitlements or individual circumstances immediately to HR</w:t>
      </w:r>
    </w:p>
    <w:p w14:paraId="29CA046F" w14:textId="67B7D626"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Maintain strict confidentiality about the process until communications have been formally agreed and released</w:t>
      </w:r>
    </w:p>
    <w:p w14:paraId="29CA0470" w14:textId="77777777" w:rsidR="00701EA7" w:rsidRDefault="007D7FDA">
      <w:pPr>
        <w:keepNext/>
        <w:keepLines/>
        <w:spacing w:before="200" w:after="40"/>
      </w:pPr>
      <w:r>
        <w:rPr>
          <w:rFonts w:ascii="Aptos" w:eastAsia="Aptos" w:hAnsi="Aptos" w:cs="Aptos"/>
          <w:b/>
          <w:bCs/>
          <w:color w:val="DF5F4D"/>
          <w:spacing w:val="20"/>
        </w:rPr>
        <w:t>SECTION 14</w:t>
      </w:r>
    </w:p>
    <w:p w14:paraId="29CA0471" w14:textId="77777777" w:rsidR="00701EA7" w:rsidRDefault="007D7FDA">
      <w:pPr>
        <w:keepNext/>
        <w:keepLines/>
      </w:pPr>
      <w:r>
        <w:rPr>
          <w:rFonts w:ascii="Aptos" w:eastAsia="Aptos" w:hAnsi="Aptos" w:cs="Aptos"/>
          <w:b/>
          <w:bCs/>
          <w:color w:val="7C7C81"/>
          <w:sz w:val="24"/>
          <w:szCs w:val="24"/>
        </w:rPr>
        <w:t>Policy Review and Maintenance</w:t>
      </w:r>
    </w:p>
    <w:p w14:paraId="29CA0472" w14:textId="77777777" w:rsidR="00701EA7" w:rsidRDefault="00701EA7">
      <w:pPr>
        <w:keepNext/>
        <w:pBdr>
          <w:bottom w:val="single" w:sz="6" w:space="1" w:color="B9B8B9"/>
        </w:pBdr>
        <w:spacing w:after="120"/>
      </w:pPr>
    </w:p>
    <w:p w14:paraId="29CA0473" w14:textId="77777777" w:rsidR="00701EA7" w:rsidRDefault="007D7FDA">
      <w:pPr>
        <w:spacing w:before="150" w:after="160" w:line="264" w:lineRule="auto"/>
      </w:pPr>
      <w:r>
        <w:rPr>
          <w:rFonts w:ascii="Aptos" w:eastAsia="Aptos" w:hAnsi="Aptos" w:cs="Aptos"/>
          <w:color w:val="7C7C81"/>
        </w:rPr>
        <w:t>This policy will be reviewed annually and following any significant legislative change, major case law development or significant change in the organisation's structure or operations. Given the pace at which employment law in this area evolves, regular review is essential.</w:t>
      </w:r>
    </w:p>
    <w:p w14:paraId="29CA0474" w14:textId="77777777" w:rsidR="00701EA7" w:rsidRDefault="007D7FDA">
      <w:pPr>
        <w:spacing w:after="160" w:line="264" w:lineRule="auto"/>
      </w:pPr>
      <w:r>
        <w:rPr>
          <w:rFonts w:ascii="Aptos" w:eastAsia="Aptos" w:hAnsi="Aptos" w:cs="Aptos"/>
          <w:color w:val="7C7C81"/>
        </w:rPr>
        <w:t>The following elements of this policy require particular attention at each review:</w:t>
      </w:r>
    </w:p>
    <w:p w14:paraId="29CA0475" w14:textId="073D2990"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Statutory redundancy pay weekly cap and maximum - updated each April</w:t>
      </w:r>
    </w:p>
    <w:p w14:paraId="29CA0476" w14:textId="77D8310E"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TUPE regulations - ongoing case law development</w:t>
      </w:r>
    </w:p>
    <w:p w14:paraId="29CA0477" w14:textId="70B13C93"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Collective consultation obligations - case law development and any legislative change</w:t>
      </w:r>
    </w:p>
    <w:p w14:paraId="29CA0478" w14:textId="42FF8B9C"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Protection for pregnant employees and those on family leave - Maternity Leave, Adoption Leave and Shared Parental Leave (Amendment) Regulations 2024 and subsequent developments</w:t>
      </w:r>
    </w:p>
    <w:p w14:paraId="29CA0479" w14:textId="5062512F" w:rsidR="00701EA7" w:rsidRDefault="00B22EAC">
      <w:pPr>
        <w:spacing w:line="258" w:lineRule="auto"/>
        <w:ind w:left="300" w:hanging="220"/>
      </w:pPr>
      <w:r>
        <w:rPr>
          <w:rFonts w:ascii="Aptos" w:eastAsia="Aptos" w:hAnsi="Aptos" w:cs="Aptos"/>
          <w:b/>
          <w:bCs/>
          <w:color w:val="DF5F4D"/>
        </w:rPr>
        <w:t>-</w:t>
      </w:r>
      <w:r w:rsidR="007D7FDA">
        <w:rPr>
          <w:rFonts w:ascii="Aptos" w:eastAsia="Aptos" w:hAnsi="Aptos" w:cs="Aptos"/>
          <w:b/>
          <w:bCs/>
          <w:color w:val="DF5F4D"/>
        </w:rPr>
        <w:t xml:space="preserve">  </w:t>
      </w:r>
      <w:r w:rsidR="007D7FDA">
        <w:rPr>
          <w:rFonts w:ascii="Aptos" w:eastAsia="Aptos" w:hAnsi="Aptos" w:cs="Aptos"/>
          <w:color w:val="7C7C81"/>
        </w:rPr>
        <w:t>Income tax treatment of redundancy and termination payments - any HMRC guidance changes</w:t>
      </w:r>
    </w:p>
    <w:p w14:paraId="29CA047A" w14:textId="77777777" w:rsidR="00701EA7" w:rsidRDefault="007D7FDA">
      <w:pPr>
        <w:keepNext/>
        <w:keepLines/>
        <w:spacing w:before="200" w:after="40"/>
      </w:pPr>
      <w:r>
        <w:rPr>
          <w:rFonts w:ascii="Aptos" w:eastAsia="Aptos" w:hAnsi="Aptos" w:cs="Aptos"/>
          <w:b/>
          <w:bCs/>
          <w:color w:val="DF5F4D"/>
          <w:spacing w:val="20"/>
        </w:rPr>
        <w:lastRenderedPageBreak/>
        <w:t>SECTION 15</w:t>
      </w:r>
    </w:p>
    <w:p w14:paraId="29CA047B" w14:textId="77777777" w:rsidR="00701EA7" w:rsidRDefault="007D7FDA">
      <w:pPr>
        <w:keepNext/>
        <w:keepLines/>
      </w:pPr>
      <w:r>
        <w:rPr>
          <w:rFonts w:ascii="Aptos" w:eastAsia="Aptos" w:hAnsi="Aptos" w:cs="Aptos"/>
          <w:b/>
          <w:bCs/>
          <w:color w:val="7C7C81"/>
          <w:sz w:val="24"/>
          <w:szCs w:val="24"/>
        </w:rPr>
        <w:t>Policy Sign-Off</w:t>
      </w:r>
    </w:p>
    <w:p w14:paraId="29CA047C" w14:textId="77777777" w:rsidR="00701EA7" w:rsidRDefault="00701EA7">
      <w:pPr>
        <w:keepNext/>
        <w:pBdr>
          <w:bottom w:val="single" w:sz="6" w:space="1" w:color="B9B8B9"/>
        </w:pBdr>
        <w:spacing w:after="120"/>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531"/>
        <w:gridCol w:w="5097"/>
      </w:tblGrid>
      <w:tr w:rsidR="008D0843" w14:paraId="29CA047F" w14:textId="732878F2" w:rsidTr="008D0843">
        <w:trPr>
          <w:cantSplit/>
        </w:trPr>
        <w:tc>
          <w:tcPr>
            <w:tcW w:w="2353" w:type="pct"/>
            <w:shd w:val="clear" w:color="auto" w:fill="DF5F4D"/>
            <w:tcMar>
              <w:top w:w="100" w:type="dxa"/>
              <w:left w:w="0" w:type="dxa"/>
              <w:bottom w:w="200" w:type="dxa"/>
              <w:right w:w="300" w:type="dxa"/>
            </w:tcMar>
          </w:tcPr>
          <w:p w14:paraId="29CA047E" w14:textId="4983E144"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POLICY PREPARED BY</w:t>
            </w:r>
          </w:p>
        </w:tc>
        <w:tc>
          <w:tcPr>
            <w:tcW w:w="2647" w:type="pct"/>
          </w:tcPr>
          <w:p w14:paraId="72B4C8C8" w14:textId="77777777" w:rsidR="008D0843" w:rsidRDefault="008D0843">
            <w:pPr>
              <w:spacing w:after="60"/>
              <w:rPr>
                <w:rFonts w:ascii="Aptos" w:eastAsia="Aptos" w:hAnsi="Aptos" w:cs="Aptos"/>
                <w:b/>
                <w:bCs/>
                <w:color w:val="DF5F4D"/>
                <w:spacing w:val="14"/>
                <w:sz w:val="18"/>
                <w:szCs w:val="18"/>
              </w:rPr>
            </w:pPr>
          </w:p>
        </w:tc>
      </w:tr>
      <w:tr w:rsidR="008D0843" w14:paraId="29CA0482" w14:textId="4FC76DA2" w:rsidTr="008D0843">
        <w:trPr>
          <w:cantSplit/>
        </w:trPr>
        <w:tc>
          <w:tcPr>
            <w:tcW w:w="2353" w:type="pct"/>
            <w:shd w:val="clear" w:color="auto" w:fill="DF5F4D"/>
            <w:tcMar>
              <w:top w:w="100" w:type="dxa"/>
              <w:left w:w="0" w:type="dxa"/>
              <w:bottom w:w="200" w:type="dxa"/>
              <w:right w:w="300" w:type="dxa"/>
            </w:tcMar>
          </w:tcPr>
          <w:p w14:paraId="29CA0481" w14:textId="4F190172"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REVIEWED BY HR</w:t>
            </w:r>
          </w:p>
        </w:tc>
        <w:tc>
          <w:tcPr>
            <w:tcW w:w="2647" w:type="pct"/>
          </w:tcPr>
          <w:p w14:paraId="30C5C215" w14:textId="77777777" w:rsidR="008D0843" w:rsidRDefault="008D0843">
            <w:pPr>
              <w:spacing w:after="60"/>
              <w:rPr>
                <w:rFonts w:ascii="Aptos" w:eastAsia="Aptos" w:hAnsi="Aptos" w:cs="Aptos"/>
                <w:b/>
                <w:bCs/>
                <w:color w:val="DF5F4D"/>
                <w:spacing w:val="14"/>
                <w:sz w:val="18"/>
                <w:szCs w:val="18"/>
              </w:rPr>
            </w:pPr>
          </w:p>
        </w:tc>
      </w:tr>
      <w:tr w:rsidR="008D0843" w14:paraId="29CA0485" w14:textId="0D623AC5" w:rsidTr="008D0843">
        <w:trPr>
          <w:cantSplit/>
        </w:trPr>
        <w:tc>
          <w:tcPr>
            <w:tcW w:w="2353" w:type="pct"/>
            <w:shd w:val="clear" w:color="auto" w:fill="DF5F4D"/>
            <w:tcMar>
              <w:top w:w="100" w:type="dxa"/>
              <w:left w:w="0" w:type="dxa"/>
              <w:bottom w:w="200" w:type="dxa"/>
              <w:right w:w="300" w:type="dxa"/>
            </w:tcMar>
          </w:tcPr>
          <w:p w14:paraId="29CA0484" w14:textId="7EB0581E"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LEGAL REVIEW COMPLETED (IF APPLICABLE)</w:t>
            </w:r>
          </w:p>
        </w:tc>
        <w:tc>
          <w:tcPr>
            <w:tcW w:w="2647" w:type="pct"/>
          </w:tcPr>
          <w:p w14:paraId="0C755888" w14:textId="77777777" w:rsidR="008D0843" w:rsidRDefault="008D0843">
            <w:pPr>
              <w:spacing w:after="60"/>
              <w:rPr>
                <w:rFonts w:ascii="Aptos" w:eastAsia="Aptos" w:hAnsi="Aptos" w:cs="Aptos"/>
                <w:b/>
                <w:bCs/>
                <w:color w:val="DF5F4D"/>
                <w:spacing w:val="14"/>
                <w:sz w:val="18"/>
                <w:szCs w:val="18"/>
              </w:rPr>
            </w:pPr>
          </w:p>
        </w:tc>
      </w:tr>
      <w:tr w:rsidR="008D0843" w14:paraId="29CA0488" w14:textId="66D1AF50" w:rsidTr="008D0843">
        <w:trPr>
          <w:cantSplit/>
        </w:trPr>
        <w:tc>
          <w:tcPr>
            <w:tcW w:w="2353" w:type="pct"/>
            <w:shd w:val="clear" w:color="auto" w:fill="DF5F4D"/>
            <w:tcMar>
              <w:top w:w="100" w:type="dxa"/>
              <w:left w:w="0" w:type="dxa"/>
              <w:bottom w:w="200" w:type="dxa"/>
              <w:right w:w="300" w:type="dxa"/>
            </w:tcMar>
          </w:tcPr>
          <w:p w14:paraId="29CA0487" w14:textId="499C2594"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APPROVED BY</w:t>
            </w:r>
          </w:p>
        </w:tc>
        <w:tc>
          <w:tcPr>
            <w:tcW w:w="2647" w:type="pct"/>
          </w:tcPr>
          <w:p w14:paraId="153F6E1A" w14:textId="77777777" w:rsidR="008D0843" w:rsidRDefault="008D0843">
            <w:pPr>
              <w:spacing w:after="60"/>
              <w:rPr>
                <w:rFonts w:ascii="Aptos" w:eastAsia="Aptos" w:hAnsi="Aptos" w:cs="Aptos"/>
                <w:b/>
                <w:bCs/>
                <w:color w:val="DF5F4D"/>
                <w:spacing w:val="14"/>
                <w:sz w:val="18"/>
                <w:szCs w:val="18"/>
              </w:rPr>
            </w:pPr>
          </w:p>
        </w:tc>
      </w:tr>
      <w:tr w:rsidR="008D0843" w14:paraId="29CA048B" w14:textId="213D5078" w:rsidTr="008D0843">
        <w:trPr>
          <w:cantSplit/>
        </w:trPr>
        <w:tc>
          <w:tcPr>
            <w:tcW w:w="2353" w:type="pct"/>
            <w:shd w:val="clear" w:color="auto" w:fill="DF5F4D"/>
            <w:tcMar>
              <w:top w:w="100" w:type="dxa"/>
              <w:left w:w="0" w:type="dxa"/>
              <w:bottom w:w="200" w:type="dxa"/>
              <w:right w:w="300" w:type="dxa"/>
            </w:tcMar>
          </w:tcPr>
          <w:p w14:paraId="29CA048A" w14:textId="76DF3926"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DATE APPROVED</w:t>
            </w:r>
          </w:p>
        </w:tc>
        <w:tc>
          <w:tcPr>
            <w:tcW w:w="2647" w:type="pct"/>
          </w:tcPr>
          <w:p w14:paraId="4844D1F4" w14:textId="77777777" w:rsidR="008D0843" w:rsidRDefault="008D0843">
            <w:pPr>
              <w:spacing w:after="60"/>
              <w:rPr>
                <w:rFonts w:ascii="Aptos" w:eastAsia="Aptos" w:hAnsi="Aptos" w:cs="Aptos"/>
                <w:b/>
                <w:bCs/>
                <w:color w:val="DF5F4D"/>
                <w:spacing w:val="14"/>
                <w:sz w:val="18"/>
                <w:szCs w:val="18"/>
              </w:rPr>
            </w:pPr>
          </w:p>
        </w:tc>
      </w:tr>
      <w:tr w:rsidR="008D0843" w14:paraId="29CA048E" w14:textId="07BFFA0D" w:rsidTr="008D0843">
        <w:trPr>
          <w:cantSplit/>
        </w:trPr>
        <w:tc>
          <w:tcPr>
            <w:tcW w:w="2353" w:type="pct"/>
            <w:shd w:val="clear" w:color="auto" w:fill="DF5F4D"/>
            <w:tcMar>
              <w:top w:w="100" w:type="dxa"/>
              <w:left w:w="0" w:type="dxa"/>
              <w:bottom w:w="200" w:type="dxa"/>
              <w:right w:w="300" w:type="dxa"/>
            </w:tcMar>
          </w:tcPr>
          <w:p w14:paraId="29CA048D" w14:textId="72024429" w:rsidR="008D0843" w:rsidRPr="008D0843" w:rsidRDefault="008D0843" w:rsidP="008D0843">
            <w:pPr>
              <w:spacing w:after="60"/>
              <w:rPr>
                <w:color w:val="FFFFFF" w:themeColor="background1"/>
              </w:rPr>
            </w:pPr>
            <w:r w:rsidRPr="008D0843">
              <w:rPr>
                <w:rFonts w:ascii="Aptos" w:eastAsia="Aptos" w:hAnsi="Aptos" w:cs="Aptos"/>
                <w:b/>
                <w:bCs/>
                <w:color w:val="FFFFFF" w:themeColor="background1"/>
                <w:spacing w:val="14"/>
                <w:sz w:val="18"/>
                <w:szCs w:val="18"/>
              </w:rPr>
              <w:t>NEXT REVIEW DUE</w:t>
            </w:r>
          </w:p>
        </w:tc>
        <w:tc>
          <w:tcPr>
            <w:tcW w:w="2647" w:type="pct"/>
          </w:tcPr>
          <w:p w14:paraId="6AE88B61" w14:textId="77777777" w:rsidR="008D0843" w:rsidRDefault="008D0843">
            <w:pPr>
              <w:spacing w:after="60"/>
              <w:rPr>
                <w:rFonts w:ascii="Aptos" w:eastAsia="Aptos" w:hAnsi="Aptos" w:cs="Aptos"/>
                <w:b/>
                <w:bCs/>
                <w:color w:val="DF5F4D"/>
                <w:spacing w:val="14"/>
                <w:sz w:val="18"/>
                <w:szCs w:val="18"/>
              </w:rPr>
            </w:pPr>
          </w:p>
        </w:tc>
      </w:tr>
    </w:tbl>
    <w:p w14:paraId="2FF51A14" w14:textId="72040A3C" w:rsidR="008D0843" w:rsidRDefault="008D0843" w:rsidP="008D0843">
      <w:pPr>
        <w:spacing w:line="258" w:lineRule="auto"/>
        <w:ind w:left="300" w:hanging="220"/>
      </w:pPr>
      <w:r>
        <w:rPr>
          <w:rFonts w:ascii="Aptos" w:eastAsia="Aptos" w:hAnsi="Aptos" w:cs="Aptos"/>
          <w:b/>
          <w:bCs/>
          <w:color w:val="DF5F4D"/>
        </w:rPr>
        <w:t xml:space="preserve"> </w:t>
      </w:r>
    </w:p>
    <w:p w14:paraId="29CA048F" w14:textId="77777777" w:rsidR="00701EA7" w:rsidRDefault="007D7FDA">
      <w:pPr>
        <w:pBdr>
          <w:left w:val="single" w:sz="18" w:space="10" w:color="DF5F4D"/>
        </w:pBdr>
        <w:spacing w:line="264" w:lineRule="auto"/>
        <w:ind w:left="260"/>
      </w:pPr>
      <w:r>
        <w:rPr>
          <w:rFonts w:ascii="Aptos" w:eastAsia="Aptos" w:hAnsi="Aptos" w:cs="Aptos"/>
          <w:color w:val="7C7C81"/>
        </w:rPr>
        <w:t>For specialist HR support with redundancy processes - including individual or collective consultation, selection criteria design, TUPE advice or outplacement support - contact White Cube Consulting at hello@whitecubeconsulting.com or call 01224 531524.</w:t>
      </w:r>
    </w:p>
    <w:sectPr w:rsidR="00701EA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9CC1" w14:textId="77777777" w:rsidR="00DD46B1" w:rsidRDefault="00DD46B1">
      <w:r>
        <w:separator/>
      </w:r>
    </w:p>
  </w:endnote>
  <w:endnote w:type="continuationSeparator" w:id="0">
    <w:p w14:paraId="7018E78D" w14:textId="77777777" w:rsidR="00DD46B1" w:rsidRDefault="00DD4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0492" w14:textId="77777777" w:rsidR="00701EA7" w:rsidRDefault="007D7FD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9CA0493" w14:textId="77777777" w:rsidR="00701EA7" w:rsidRDefault="007D7FD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7508" w14:textId="77777777" w:rsidR="00DD46B1" w:rsidRDefault="00DD46B1">
      <w:r>
        <w:separator/>
      </w:r>
    </w:p>
  </w:footnote>
  <w:footnote w:type="continuationSeparator" w:id="0">
    <w:p w14:paraId="59F6BBA5" w14:textId="77777777" w:rsidR="00DD46B1" w:rsidRDefault="00DD4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0490" w14:textId="77777777" w:rsidR="00701EA7" w:rsidRDefault="007D7FDA">
    <w:pPr>
      <w:jc w:val="center"/>
    </w:pPr>
    <w:r>
      <w:rPr>
        <w:noProof/>
      </w:rPr>
      <w:drawing>
        <wp:inline distT="0" distB="0" distL="0" distR="0" wp14:anchorId="29CA0494" wp14:editId="29CA049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9CA0491" w14:textId="77777777" w:rsidR="00701EA7" w:rsidRDefault="00701EA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228B5"/>
    <w:multiLevelType w:val="hybridMultilevel"/>
    <w:tmpl w:val="AE94DD3C"/>
    <w:lvl w:ilvl="0" w:tplc="FD74D4BA">
      <w:start w:val="1"/>
      <w:numFmt w:val="bullet"/>
      <w:lvlText w:val="●"/>
      <w:lvlJc w:val="left"/>
      <w:pPr>
        <w:ind w:left="720" w:hanging="360"/>
      </w:pPr>
    </w:lvl>
    <w:lvl w:ilvl="1" w:tplc="783285DC">
      <w:start w:val="1"/>
      <w:numFmt w:val="bullet"/>
      <w:lvlText w:val="○"/>
      <w:lvlJc w:val="left"/>
      <w:pPr>
        <w:ind w:left="1440" w:hanging="360"/>
      </w:pPr>
    </w:lvl>
    <w:lvl w:ilvl="2" w:tplc="DEE6DD3E">
      <w:start w:val="1"/>
      <w:numFmt w:val="bullet"/>
      <w:lvlText w:val="■"/>
      <w:lvlJc w:val="left"/>
      <w:pPr>
        <w:ind w:left="2160" w:hanging="360"/>
      </w:pPr>
    </w:lvl>
    <w:lvl w:ilvl="3" w:tplc="449EBB68">
      <w:start w:val="1"/>
      <w:numFmt w:val="bullet"/>
      <w:lvlText w:val="●"/>
      <w:lvlJc w:val="left"/>
      <w:pPr>
        <w:ind w:left="2880" w:hanging="360"/>
      </w:pPr>
    </w:lvl>
    <w:lvl w:ilvl="4" w:tplc="2AF8E888">
      <w:start w:val="1"/>
      <w:numFmt w:val="bullet"/>
      <w:lvlText w:val="○"/>
      <w:lvlJc w:val="left"/>
      <w:pPr>
        <w:ind w:left="3600" w:hanging="360"/>
      </w:pPr>
    </w:lvl>
    <w:lvl w:ilvl="5" w:tplc="434C15B4">
      <w:start w:val="1"/>
      <w:numFmt w:val="bullet"/>
      <w:lvlText w:val="■"/>
      <w:lvlJc w:val="left"/>
      <w:pPr>
        <w:ind w:left="4320" w:hanging="360"/>
      </w:pPr>
    </w:lvl>
    <w:lvl w:ilvl="6" w:tplc="F830D660">
      <w:start w:val="1"/>
      <w:numFmt w:val="bullet"/>
      <w:lvlText w:val="●"/>
      <w:lvlJc w:val="left"/>
      <w:pPr>
        <w:ind w:left="5040" w:hanging="360"/>
      </w:pPr>
    </w:lvl>
    <w:lvl w:ilvl="7" w:tplc="CA3615FA">
      <w:start w:val="1"/>
      <w:numFmt w:val="bullet"/>
      <w:lvlText w:val="●"/>
      <w:lvlJc w:val="left"/>
      <w:pPr>
        <w:ind w:left="5760" w:hanging="360"/>
      </w:pPr>
    </w:lvl>
    <w:lvl w:ilvl="8" w:tplc="580ADA6A">
      <w:start w:val="1"/>
      <w:numFmt w:val="bullet"/>
      <w:lvlText w:val="●"/>
      <w:lvlJc w:val="left"/>
      <w:pPr>
        <w:ind w:left="6480" w:hanging="360"/>
      </w:pPr>
    </w:lvl>
  </w:abstractNum>
  <w:num w:numId="1" w16cid:durableId="14011739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A7"/>
    <w:rsid w:val="00102B7B"/>
    <w:rsid w:val="001668DF"/>
    <w:rsid w:val="00182166"/>
    <w:rsid w:val="002A6877"/>
    <w:rsid w:val="002A7E03"/>
    <w:rsid w:val="002F05D7"/>
    <w:rsid w:val="003A58B8"/>
    <w:rsid w:val="003D6BC2"/>
    <w:rsid w:val="005320D0"/>
    <w:rsid w:val="005632FD"/>
    <w:rsid w:val="00571942"/>
    <w:rsid w:val="006158F4"/>
    <w:rsid w:val="006D5B1D"/>
    <w:rsid w:val="00701EA7"/>
    <w:rsid w:val="007033A3"/>
    <w:rsid w:val="007D7FDA"/>
    <w:rsid w:val="00866566"/>
    <w:rsid w:val="008964B1"/>
    <w:rsid w:val="008D0843"/>
    <w:rsid w:val="009426F0"/>
    <w:rsid w:val="00A00D33"/>
    <w:rsid w:val="00A169E0"/>
    <w:rsid w:val="00B22EAC"/>
    <w:rsid w:val="00B57C6D"/>
    <w:rsid w:val="00BF1FB7"/>
    <w:rsid w:val="00CE3CD1"/>
    <w:rsid w:val="00DD46B1"/>
    <w:rsid w:val="00E12893"/>
    <w:rsid w:val="00E46201"/>
    <w:rsid w:val="00ED2A84"/>
    <w:rsid w:val="00F91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0306"/>
  <w15:docId w15:val="{504B3BC8-3480-4D03-BD34-7D0C573D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896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00D33"/>
    <w:pPr>
      <w:tabs>
        <w:tab w:val="center" w:pos="4513"/>
        <w:tab w:val="right" w:pos="9026"/>
      </w:tabs>
    </w:pPr>
  </w:style>
  <w:style w:type="character" w:customStyle="1" w:styleId="HeaderChar">
    <w:name w:val="Header Char"/>
    <w:basedOn w:val="DefaultParagraphFont"/>
    <w:link w:val="Header"/>
    <w:uiPriority w:val="99"/>
    <w:semiHidden/>
    <w:rsid w:val="00A00D33"/>
  </w:style>
  <w:style w:type="paragraph" w:styleId="Footer">
    <w:name w:val="footer"/>
    <w:basedOn w:val="Normal"/>
    <w:link w:val="FooterChar"/>
    <w:uiPriority w:val="99"/>
    <w:semiHidden/>
    <w:unhideWhenUsed/>
    <w:rsid w:val="00A00D33"/>
    <w:pPr>
      <w:tabs>
        <w:tab w:val="center" w:pos="4513"/>
        <w:tab w:val="right" w:pos="9026"/>
      </w:tabs>
    </w:pPr>
  </w:style>
  <w:style w:type="character" w:customStyle="1" w:styleId="FooterChar">
    <w:name w:val="Footer Char"/>
    <w:basedOn w:val="DefaultParagraphFont"/>
    <w:link w:val="Footer"/>
    <w:uiPriority w:val="99"/>
    <w:semiHidden/>
    <w:rsid w:val="00A00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5355</Words>
  <Characters>29829</Characters>
  <Application>Microsoft Office Word</Application>
  <DocSecurity>0</DocSecurity>
  <Lines>608</Lines>
  <Paragraphs>386</Paragraphs>
  <ScaleCrop>false</ScaleCrop>
  <Company/>
  <LinksUpToDate>false</LinksUpToDate>
  <CharactersWithSpaces>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Redundancy Policy Template</dc:title>
  <dc:creator>White Cube Consulting</dc:creator>
  <cp:lastModifiedBy>Campbell Urquhart</cp:lastModifiedBy>
  <cp:revision>18</cp:revision>
  <dcterms:created xsi:type="dcterms:W3CDTF">2026-07-03T12:12:00Z</dcterms:created>
  <dcterms:modified xsi:type="dcterms:W3CDTF">2026-07-17T12:10:00Z</dcterms:modified>
</cp:coreProperties>
</file>