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F648D" w14:textId="77777777" w:rsidR="00EC6B44" w:rsidRDefault="002F2653">
      <w:pPr>
        <w:keepNext/>
        <w:spacing w:after="60"/>
        <w:jc w:val="center"/>
      </w:pPr>
      <w:r>
        <w:rPr>
          <w:rFonts w:ascii="Aptos" w:eastAsia="Aptos" w:hAnsi="Aptos" w:cs="Aptos"/>
          <w:b/>
          <w:caps/>
          <w:color w:val="F29D22"/>
          <w:spacing w:val="22"/>
        </w:rPr>
        <w:t>HR POLICY</w:t>
      </w:r>
    </w:p>
    <w:p w14:paraId="03916B3D" w14:textId="77777777" w:rsidR="00EC6B44" w:rsidRDefault="002F2653">
      <w:pPr>
        <w:keepNext/>
        <w:spacing w:after="60"/>
        <w:jc w:val="center"/>
      </w:pPr>
      <w:r>
        <w:rPr>
          <w:rFonts w:ascii="Aptos" w:eastAsia="Aptos" w:hAnsi="Aptos" w:cs="Aptos"/>
          <w:b/>
          <w:color w:val="7C7C81"/>
          <w:sz w:val="48"/>
          <w:szCs w:val="48"/>
        </w:rPr>
        <w:t>Data Retention Policy</w:t>
      </w:r>
    </w:p>
    <w:p w14:paraId="7CCBB9DB" w14:textId="77777777" w:rsidR="00EC6B44" w:rsidRDefault="002F2653">
      <w:pPr>
        <w:keepNext/>
        <w:jc w:val="center"/>
      </w:pPr>
      <w:r>
        <w:rPr>
          <w:rFonts w:ascii="Aptos" w:eastAsia="Aptos" w:hAnsi="Aptos" w:cs="Aptos"/>
          <w:color w:val="7C7C81"/>
        </w:rPr>
        <w:t>Workplace Policies  |  White Cube Consulting</w:t>
      </w:r>
    </w:p>
    <w:p w14:paraId="2EA5F754" w14:textId="77777777" w:rsidR="00EC6B44" w:rsidRDefault="00EC6B44">
      <w:pPr>
        <w:pBdr>
          <w:bottom w:val="single" w:sz="4" w:space="6" w:color="B9B8B9"/>
        </w:pBdr>
        <w:spacing w:after="200"/>
      </w:pPr>
    </w:p>
    <w:tbl>
      <w:tblPr>
        <w:tblW w:w="9639" w:type="dxa"/>
        <w:tblLayout w:type="fixed"/>
        <w:tblLook w:val="04A0" w:firstRow="1" w:lastRow="0" w:firstColumn="1" w:lastColumn="0" w:noHBand="0" w:noVBand="1"/>
      </w:tblPr>
      <w:tblGrid>
        <w:gridCol w:w="2702"/>
        <w:gridCol w:w="6937"/>
      </w:tblGrid>
      <w:tr w:rsidR="00EC6B44" w14:paraId="724A9587"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00E133B" w14:textId="77777777" w:rsidR="00EC6B44" w:rsidRDefault="002F2653">
            <w:r>
              <w:rPr>
                <w:rFonts w:ascii="Aptos" w:eastAsia="Aptos" w:hAnsi="Aptos" w:cs="Aptos"/>
                <w:b/>
                <w:caps/>
                <w:color w:val="FFFFFF"/>
              </w:rPr>
              <w:t>ORGANISATION</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7047D60" w14:textId="77777777" w:rsidR="00EC6B44" w:rsidRDefault="002F2653">
            <w:r>
              <w:rPr>
                <w:rFonts w:ascii="Aptos" w:eastAsia="Aptos" w:hAnsi="Aptos" w:cs="Aptos"/>
                <w:color w:val="7C7C81"/>
              </w:rPr>
              <w:t>[Organisation Name]</w:t>
            </w:r>
          </w:p>
        </w:tc>
      </w:tr>
      <w:tr w:rsidR="00EC6B44" w14:paraId="4490841E"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2574B16" w14:textId="77777777" w:rsidR="00EC6B44" w:rsidRDefault="002F2653">
            <w:r>
              <w:rPr>
                <w:rFonts w:ascii="Aptos" w:eastAsia="Aptos" w:hAnsi="Aptos" w:cs="Aptos"/>
                <w:b/>
                <w:caps/>
                <w:color w:val="FFFFFF"/>
              </w:rPr>
              <w:t>VERSION</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59E86C53" w14:textId="77777777" w:rsidR="00EC6B44" w:rsidRDefault="002F2653">
            <w:r>
              <w:rPr>
                <w:rFonts w:ascii="Aptos" w:eastAsia="Aptos" w:hAnsi="Aptos" w:cs="Aptos"/>
                <w:color w:val="7C7C81"/>
              </w:rPr>
              <w:t>Version 1.0</w:t>
            </w:r>
          </w:p>
        </w:tc>
      </w:tr>
      <w:tr w:rsidR="00EC6B44" w14:paraId="1B94747F"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729562D" w14:textId="77777777" w:rsidR="00EC6B44" w:rsidRDefault="002F2653">
            <w:r>
              <w:rPr>
                <w:rFonts w:ascii="Aptos" w:eastAsia="Aptos" w:hAnsi="Aptos" w:cs="Aptos"/>
                <w:b/>
                <w:caps/>
                <w:color w:val="FFFFFF"/>
              </w:rPr>
              <w:t>DATE ADOPTED</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7DBF00A" w14:textId="77777777" w:rsidR="00EC6B44" w:rsidRDefault="002F2653">
            <w:r>
              <w:rPr>
                <w:rFonts w:ascii="Aptos" w:eastAsia="Aptos" w:hAnsi="Aptos" w:cs="Aptos"/>
                <w:color w:val="7C7C81"/>
              </w:rPr>
              <w:t>[Date]</w:t>
            </w:r>
          </w:p>
        </w:tc>
      </w:tr>
      <w:tr w:rsidR="00EC6B44" w14:paraId="4ABDBA30"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945DCD8" w14:textId="77777777" w:rsidR="00EC6B44" w:rsidRDefault="002F2653">
            <w:r>
              <w:rPr>
                <w:rFonts w:ascii="Aptos" w:eastAsia="Aptos" w:hAnsi="Aptos" w:cs="Aptos"/>
                <w:b/>
                <w:caps/>
                <w:color w:val="FFFFFF"/>
              </w:rPr>
              <w:t>REVIEW DATE</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836007D" w14:textId="77777777" w:rsidR="00EC6B44" w:rsidRDefault="002F2653">
            <w:r>
              <w:rPr>
                <w:rFonts w:ascii="Aptos" w:eastAsia="Aptos" w:hAnsi="Aptos" w:cs="Aptos"/>
                <w:color w:val="7C7C81"/>
              </w:rPr>
              <w:t>[Date - recommend annual review]</w:t>
            </w:r>
          </w:p>
        </w:tc>
      </w:tr>
      <w:tr w:rsidR="00EC6B44" w14:paraId="463199F7"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B9CAA29" w14:textId="77777777" w:rsidR="00EC6B44" w:rsidRDefault="002F2653">
            <w:r>
              <w:rPr>
                <w:rFonts w:ascii="Aptos" w:eastAsia="Aptos" w:hAnsi="Aptos" w:cs="Aptos"/>
                <w:b/>
                <w:caps/>
                <w:color w:val="FFFFFF"/>
              </w:rPr>
              <w:t>POLICY OWNER</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438E838" w14:textId="77777777" w:rsidR="00EC6B44" w:rsidRDefault="002F2653">
            <w:r>
              <w:rPr>
                <w:rFonts w:ascii="Aptos" w:eastAsia="Aptos" w:hAnsi="Aptos" w:cs="Aptos"/>
                <w:color w:val="7C7C81"/>
              </w:rPr>
              <w:t>HR / Data Protection Officer (if appointed)</w:t>
            </w:r>
          </w:p>
        </w:tc>
      </w:tr>
      <w:tr w:rsidR="00EC6B44" w14:paraId="07AFB218"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7EC68AD" w14:textId="77777777" w:rsidR="00EC6B44" w:rsidRDefault="002F2653">
            <w:r>
              <w:rPr>
                <w:rFonts w:ascii="Aptos" w:eastAsia="Aptos" w:hAnsi="Aptos" w:cs="Aptos"/>
                <w:b/>
                <w:caps/>
                <w:color w:val="FFFFFF"/>
              </w:rPr>
              <w:t>SCOPE</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378ADC8" w14:textId="77777777" w:rsidR="00EC6B44" w:rsidRDefault="002F2653">
            <w:r>
              <w:rPr>
                <w:rFonts w:ascii="Aptos" w:eastAsia="Aptos" w:hAnsi="Aptos" w:cs="Aptos"/>
                <w:color w:val="7C7C81"/>
              </w:rPr>
              <w:t>All employees, workers and contractors who handle personal or business data</w:t>
            </w:r>
          </w:p>
        </w:tc>
      </w:tr>
    </w:tbl>
    <w:p w14:paraId="7A4FED6D" w14:textId="77777777" w:rsidR="00EC6B44" w:rsidRDefault="00EC6B44">
      <w:pPr>
        <w:spacing w:after="120"/>
      </w:pPr>
    </w:p>
    <w:p w14:paraId="67545CF7" w14:textId="77777777" w:rsidR="00EC6B44" w:rsidRDefault="002F2653">
      <w:pPr>
        <w:pBdr>
          <w:left w:val="single" w:sz="18" w:space="10" w:color="F29D22"/>
        </w:pBdr>
        <w:spacing w:after="200" w:line="264" w:lineRule="auto"/>
        <w:ind w:left="260"/>
      </w:pPr>
      <w:r>
        <w:rPr>
          <w:rFonts w:ascii="Aptos" w:eastAsia="Aptos" w:hAnsi="Aptos" w:cs="Aptos"/>
          <w:color w:val="7C7C81"/>
        </w:rPr>
        <w:t>This policy template is provided for guidance purposes only. It should be reviewed and adapted to reflect the specific circumstances, structure and requirements of your organisation before adoption. We recommend taking HR and/or legal advice prior to implementation. This document does not constitute legal advice.</w:t>
      </w:r>
    </w:p>
    <w:p w14:paraId="2A7F5F00" w14:textId="3783EDAE" w:rsidR="00EC6B44" w:rsidRDefault="0026617A">
      <w:pPr>
        <w:keepNext/>
        <w:spacing w:before="240" w:after="40"/>
      </w:pPr>
      <w:r>
        <w:rPr>
          <w:rFonts w:ascii="Aptos" w:eastAsia="Aptos" w:hAnsi="Aptos" w:cs="Aptos"/>
          <w:b/>
          <w:caps/>
          <w:color w:val="F29D22"/>
          <w:spacing w:val="20"/>
        </w:rPr>
        <w:br/>
      </w:r>
      <w:r w:rsidR="002F2653" w:rsidRPr="0026617A">
        <w:rPr>
          <w:rFonts w:ascii="Aptos" w:eastAsia="Aptos" w:hAnsi="Aptos" w:cs="Aptos"/>
          <w:b/>
          <w:caps/>
          <w:color w:val="F29D22"/>
          <w:spacing w:val="20"/>
        </w:rPr>
        <w:t>SECTION</w:t>
      </w:r>
      <w:r w:rsidR="002F2653">
        <w:rPr>
          <w:rFonts w:ascii="Aptos" w:eastAsia="Aptos" w:hAnsi="Aptos" w:cs="Aptos"/>
          <w:b/>
          <w:caps/>
          <w:color w:val="F29D22"/>
          <w:spacing w:val="20"/>
        </w:rPr>
        <w:t xml:space="preserve"> 01</w:t>
      </w:r>
    </w:p>
    <w:p w14:paraId="736C52B9" w14:textId="77777777" w:rsidR="00EC6B44" w:rsidRDefault="002F2653">
      <w:pPr>
        <w:keepNext/>
        <w:spacing w:after="60"/>
      </w:pPr>
      <w:r>
        <w:rPr>
          <w:rFonts w:ascii="Aptos" w:eastAsia="Aptos" w:hAnsi="Aptos" w:cs="Aptos"/>
          <w:b/>
          <w:color w:val="7C7C81"/>
          <w:sz w:val="24"/>
          <w:szCs w:val="24"/>
        </w:rPr>
        <w:t>Purpose and Scope</w:t>
      </w:r>
    </w:p>
    <w:p w14:paraId="1DAE673D" w14:textId="77777777" w:rsidR="00EC6B44" w:rsidRDefault="00EC6B44">
      <w:pPr>
        <w:pBdr>
          <w:bottom w:val="single" w:sz="6" w:space="6" w:color="B9B8B9"/>
        </w:pBdr>
        <w:spacing w:after="140"/>
      </w:pPr>
    </w:p>
    <w:p w14:paraId="46BB5585" w14:textId="77777777" w:rsidR="00EC6B44" w:rsidRDefault="002F2653">
      <w:pPr>
        <w:spacing w:after="120" w:line="264" w:lineRule="auto"/>
      </w:pPr>
      <w:r>
        <w:rPr>
          <w:rFonts w:ascii="Aptos" w:eastAsia="Aptos" w:hAnsi="Aptos" w:cs="Aptos"/>
          <w:color w:val="7C7C81"/>
        </w:rPr>
        <w:t>This policy sets out how long [Organisation Name] retains records and data, and how records are securely stored and disposed of when no longer needed. It supports our obligations under the UK General Data Protection Regulation (UK GDPR) and the Data Protection Act 2018, in particular the storage limitation principle, which requires that personal data is kept for no longer than is necessary.</w:t>
      </w:r>
    </w:p>
    <w:p w14:paraId="1BCC984D" w14:textId="77777777" w:rsidR="00EC6B44" w:rsidRDefault="002F2653">
      <w:pPr>
        <w:keepNext/>
        <w:spacing w:before="240" w:after="40"/>
      </w:pPr>
      <w:r>
        <w:rPr>
          <w:rFonts w:ascii="Aptos" w:eastAsia="Aptos" w:hAnsi="Aptos" w:cs="Aptos"/>
          <w:b/>
          <w:caps/>
          <w:color w:val="F29D22"/>
          <w:spacing w:val="20"/>
        </w:rPr>
        <w:t>SECTION 02</w:t>
      </w:r>
    </w:p>
    <w:p w14:paraId="12FB724E" w14:textId="77777777" w:rsidR="00EC6B44" w:rsidRDefault="002F2653">
      <w:pPr>
        <w:keepNext/>
        <w:spacing w:after="60"/>
      </w:pPr>
      <w:r>
        <w:rPr>
          <w:rFonts w:ascii="Aptos" w:eastAsia="Aptos" w:hAnsi="Aptos" w:cs="Aptos"/>
          <w:b/>
          <w:color w:val="7C7C81"/>
          <w:sz w:val="24"/>
          <w:szCs w:val="24"/>
        </w:rPr>
        <w:t>Principles</w:t>
      </w:r>
    </w:p>
    <w:p w14:paraId="535CD3E1" w14:textId="77777777" w:rsidR="00EC6B44" w:rsidRDefault="00EC6B44">
      <w:pPr>
        <w:pBdr>
          <w:bottom w:val="single" w:sz="6" w:space="6" w:color="B9B8B9"/>
        </w:pBdr>
        <w:spacing w:after="140"/>
      </w:pPr>
    </w:p>
    <w:p w14:paraId="2B394BC3" w14:textId="77777777" w:rsidR="00EC6B44" w:rsidRDefault="002F2653">
      <w:pPr>
        <w:spacing w:after="60" w:line="264" w:lineRule="auto"/>
        <w:ind w:left="260" w:hanging="200"/>
      </w:pPr>
      <w:r>
        <w:rPr>
          <w:rFonts w:ascii="Aptos" w:eastAsia="Aptos" w:hAnsi="Aptos" w:cs="Aptos"/>
          <w:color w:val="7C7C81"/>
        </w:rPr>
        <w:t>•   We keep personal data only for as long as there is a valid business, legal or regulatory reason to do so.</w:t>
      </w:r>
    </w:p>
    <w:p w14:paraId="501C3654" w14:textId="77777777" w:rsidR="00EC6B44" w:rsidRDefault="002F2653">
      <w:pPr>
        <w:spacing w:after="60" w:line="264" w:lineRule="auto"/>
        <w:ind w:left="260" w:hanging="200"/>
      </w:pPr>
      <w:r>
        <w:rPr>
          <w:rFonts w:ascii="Aptos" w:eastAsia="Aptos" w:hAnsi="Aptos" w:cs="Aptos"/>
          <w:color w:val="7C7C81"/>
        </w:rPr>
        <w:t>•   Retention periods are based on statutory requirements, limitation periods for legal claims, and legitimate business need.</w:t>
      </w:r>
    </w:p>
    <w:p w14:paraId="655D2116" w14:textId="77777777" w:rsidR="00EC6B44" w:rsidRDefault="002F2653">
      <w:pPr>
        <w:spacing w:after="60" w:line="264" w:lineRule="auto"/>
        <w:ind w:left="260" w:hanging="200"/>
      </w:pPr>
      <w:r>
        <w:rPr>
          <w:rFonts w:ascii="Aptos" w:eastAsia="Aptos" w:hAnsi="Aptos" w:cs="Aptos"/>
          <w:color w:val="7C7C81"/>
        </w:rPr>
        <w:t>•   Records are stored securely and access is limited to those who need it.</w:t>
      </w:r>
    </w:p>
    <w:p w14:paraId="40CB2A66" w14:textId="77777777" w:rsidR="00EC6B44" w:rsidRDefault="002F2653">
      <w:pPr>
        <w:spacing w:after="60" w:line="264" w:lineRule="auto"/>
        <w:ind w:left="260" w:hanging="200"/>
      </w:pPr>
      <w:r>
        <w:rPr>
          <w:rFonts w:ascii="Aptos" w:eastAsia="Aptos" w:hAnsi="Aptos" w:cs="Aptos"/>
          <w:color w:val="7C7C81"/>
        </w:rPr>
        <w:t>•   When a retention period expires, records are securely deleted or anonymised unless a lawful reason to retain them still applies (for example, live litigation or a regulatory hold).</w:t>
      </w:r>
    </w:p>
    <w:p w14:paraId="4D2669FD" w14:textId="77777777" w:rsidR="00EC6B44" w:rsidRDefault="002F2653">
      <w:pPr>
        <w:keepNext/>
        <w:spacing w:before="240" w:after="40"/>
      </w:pPr>
      <w:r>
        <w:rPr>
          <w:rFonts w:ascii="Aptos" w:eastAsia="Aptos" w:hAnsi="Aptos" w:cs="Aptos"/>
          <w:b/>
          <w:caps/>
          <w:color w:val="F29D22"/>
          <w:spacing w:val="20"/>
        </w:rPr>
        <w:t>SECTION 03</w:t>
      </w:r>
    </w:p>
    <w:p w14:paraId="55BCEE11" w14:textId="77777777" w:rsidR="00EC6B44" w:rsidRDefault="002F2653">
      <w:pPr>
        <w:keepNext/>
        <w:spacing w:after="60"/>
      </w:pPr>
      <w:r>
        <w:rPr>
          <w:rFonts w:ascii="Aptos" w:eastAsia="Aptos" w:hAnsi="Aptos" w:cs="Aptos"/>
          <w:b/>
          <w:color w:val="7C7C81"/>
          <w:sz w:val="24"/>
          <w:szCs w:val="24"/>
        </w:rPr>
        <w:t>Responsibilities</w:t>
      </w:r>
    </w:p>
    <w:p w14:paraId="4C05F63D" w14:textId="77777777" w:rsidR="00EC6B44" w:rsidRDefault="00EC6B44">
      <w:pPr>
        <w:pBdr>
          <w:bottom w:val="single" w:sz="6" w:space="6" w:color="B9B8B9"/>
        </w:pBdr>
        <w:spacing w:after="140"/>
      </w:pPr>
    </w:p>
    <w:p w14:paraId="1BC469DD" w14:textId="77777777" w:rsidR="00EC6B44" w:rsidRDefault="002F2653">
      <w:pPr>
        <w:spacing w:after="120" w:line="264" w:lineRule="auto"/>
      </w:pPr>
      <w:r>
        <w:rPr>
          <w:rFonts w:ascii="Aptos" w:eastAsia="Aptos" w:hAnsi="Aptos" w:cs="Aptos"/>
          <w:color w:val="7C7C81"/>
        </w:rPr>
        <w:t>Managers and record owners are responsible for applying this policy to the records they control. HR maintains retention periods for people-related records. The Data Protection Officer or designated data protection lead oversees compliance and handles any queries or exceptions.</w:t>
      </w:r>
    </w:p>
    <w:p w14:paraId="591E05BF" w14:textId="77777777" w:rsidR="00EC6B44" w:rsidRDefault="002F2653">
      <w:pPr>
        <w:keepNext/>
        <w:spacing w:before="240" w:after="40"/>
      </w:pPr>
      <w:r>
        <w:rPr>
          <w:rFonts w:ascii="Aptos" w:eastAsia="Aptos" w:hAnsi="Aptos" w:cs="Aptos"/>
          <w:b/>
          <w:caps/>
          <w:color w:val="F29D22"/>
          <w:spacing w:val="20"/>
        </w:rPr>
        <w:lastRenderedPageBreak/>
        <w:t>SECTION 04</w:t>
      </w:r>
    </w:p>
    <w:p w14:paraId="6FCF4EA5" w14:textId="77777777" w:rsidR="00EC6B44" w:rsidRDefault="002F2653">
      <w:pPr>
        <w:keepNext/>
        <w:spacing w:after="60"/>
      </w:pPr>
      <w:r>
        <w:rPr>
          <w:rFonts w:ascii="Aptos" w:eastAsia="Aptos" w:hAnsi="Aptos" w:cs="Aptos"/>
          <w:b/>
          <w:color w:val="7C7C81"/>
          <w:sz w:val="24"/>
          <w:szCs w:val="24"/>
        </w:rPr>
        <w:t>Retention Schedule</w:t>
      </w:r>
    </w:p>
    <w:p w14:paraId="7F08FD1C" w14:textId="77777777" w:rsidR="00EC6B44" w:rsidRDefault="00EC6B44">
      <w:pPr>
        <w:pBdr>
          <w:bottom w:val="single" w:sz="6" w:space="6" w:color="B9B8B9"/>
        </w:pBdr>
        <w:spacing w:after="140"/>
      </w:pPr>
    </w:p>
    <w:p w14:paraId="16E30E0A" w14:textId="4EAF57F3" w:rsidR="00EC6B44" w:rsidRPr="0026617A" w:rsidRDefault="002F2653" w:rsidP="0026617A">
      <w:pPr>
        <w:pBdr>
          <w:left w:val="single" w:sz="18" w:space="10" w:color="F29D22"/>
        </w:pBdr>
        <w:spacing w:after="200" w:line="264" w:lineRule="auto"/>
        <w:ind w:left="260"/>
        <w:rPr>
          <w:rFonts w:ascii="Aptos" w:eastAsia="Aptos" w:hAnsi="Aptos" w:cs="Aptos"/>
          <w:color w:val="7C7C81"/>
        </w:rPr>
      </w:pPr>
      <w:r w:rsidRPr="0026617A">
        <w:rPr>
          <w:rFonts w:ascii="Aptos" w:eastAsia="Aptos" w:hAnsi="Aptos" w:cs="Aptos"/>
          <w:color w:val="7C7C81"/>
        </w:rPr>
        <w:t xml:space="preserve">Guidance — </w:t>
      </w:r>
      <w:r>
        <w:rPr>
          <w:rFonts w:ascii="Aptos" w:eastAsia="Aptos" w:hAnsi="Aptos" w:cs="Aptos"/>
          <w:color w:val="7C7C81"/>
        </w:rPr>
        <w:t>The periods below are common UK reference points and should be confirmed against current legislation, sector requirements and legal advice before adoption. Where a specific statutory period does not apply, the period reflects the limitation period for potential legal claims plus a margin.</w:t>
      </w:r>
    </w:p>
    <w:p w14:paraId="39887975" w14:textId="37BC5255" w:rsidR="0026617A" w:rsidRDefault="0026617A" w:rsidP="0026617A">
      <w:pPr>
        <w:spacing w:after="120" w:line="264" w:lineRule="auto"/>
      </w:pPr>
      <w:r>
        <w:rPr>
          <w:rFonts w:ascii="Aptos" w:eastAsia="Aptos" w:hAnsi="Aptos" w:cs="Aptos"/>
          <w:color w:val="7C7C81"/>
        </w:rPr>
        <w:t xml:space="preserve"> </w:t>
      </w:r>
    </w:p>
    <w:tbl>
      <w:tblPr>
        <w:tblW w:w="9639"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3200"/>
        <w:gridCol w:w="2639"/>
        <w:gridCol w:w="3800"/>
      </w:tblGrid>
      <w:tr w:rsidR="00EC6B44" w:rsidRPr="0026617A" w14:paraId="3337D898" w14:textId="77777777" w:rsidTr="0026617A">
        <w:trPr>
          <w:tblHeader/>
        </w:trPr>
        <w:tc>
          <w:tcPr>
            <w:tcW w:w="3200" w:type="dxa"/>
            <w:shd w:val="clear" w:color="auto" w:fill="F29D22"/>
            <w:tcMar>
              <w:top w:w="60" w:type="dxa"/>
              <w:left w:w="110" w:type="dxa"/>
              <w:bottom w:w="60" w:type="dxa"/>
              <w:right w:w="110" w:type="dxa"/>
            </w:tcMar>
            <w:vAlign w:val="center"/>
          </w:tcPr>
          <w:p w14:paraId="1F9E5AA5" w14:textId="77777777" w:rsidR="00EC6B44" w:rsidRPr="0026617A" w:rsidRDefault="002F2653" w:rsidP="0026617A">
            <w:pPr>
              <w:jc w:val="center"/>
              <w:rPr>
                <w:rFonts w:ascii="Aptos" w:eastAsia="Aptos" w:hAnsi="Aptos" w:cs="Aptos"/>
                <w:b/>
                <w:caps/>
                <w:color w:val="FFFFFF"/>
              </w:rPr>
            </w:pPr>
            <w:r w:rsidRPr="0026617A">
              <w:rPr>
                <w:rFonts w:ascii="Aptos" w:eastAsia="Aptos" w:hAnsi="Aptos" w:cs="Aptos"/>
                <w:b/>
                <w:caps/>
                <w:color w:val="FFFFFF"/>
              </w:rPr>
              <w:t>Record Type</w:t>
            </w:r>
          </w:p>
        </w:tc>
        <w:tc>
          <w:tcPr>
            <w:tcW w:w="2639" w:type="dxa"/>
            <w:shd w:val="clear" w:color="auto" w:fill="F29D22"/>
            <w:tcMar>
              <w:top w:w="60" w:type="dxa"/>
              <w:left w:w="110" w:type="dxa"/>
              <w:bottom w:w="60" w:type="dxa"/>
              <w:right w:w="110" w:type="dxa"/>
            </w:tcMar>
            <w:vAlign w:val="center"/>
          </w:tcPr>
          <w:p w14:paraId="19082A96" w14:textId="77777777" w:rsidR="00EC6B44" w:rsidRPr="0026617A" w:rsidRDefault="002F2653" w:rsidP="0026617A">
            <w:pPr>
              <w:jc w:val="center"/>
              <w:rPr>
                <w:rFonts w:ascii="Aptos" w:eastAsia="Aptos" w:hAnsi="Aptos" w:cs="Aptos"/>
                <w:b/>
                <w:caps/>
                <w:color w:val="FFFFFF"/>
              </w:rPr>
            </w:pPr>
            <w:r w:rsidRPr="0026617A">
              <w:rPr>
                <w:rFonts w:ascii="Aptos" w:eastAsia="Aptos" w:hAnsi="Aptos" w:cs="Aptos"/>
                <w:b/>
                <w:caps/>
                <w:color w:val="FFFFFF"/>
              </w:rPr>
              <w:t>Typical Retention Period</w:t>
            </w:r>
          </w:p>
        </w:tc>
        <w:tc>
          <w:tcPr>
            <w:tcW w:w="3800" w:type="dxa"/>
            <w:shd w:val="clear" w:color="auto" w:fill="F29D22"/>
            <w:tcMar>
              <w:top w:w="60" w:type="dxa"/>
              <w:left w:w="110" w:type="dxa"/>
              <w:bottom w:w="60" w:type="dxa"/>
              <w:right w:w="110" w:type="dxa"/>
            </w:tcMar>
            <w:vAlign w:val="center"/>
          </w:tcPr>
          <w:p w14:paraId="69566A45" w14:textId="77777777" w:rsidR="00EC6B44" w:rsidRPr="0026617A" w:rsidRDefault="002F2653" w:rsidP="0026617A">
            <w:pPr>
              <w:jc w:val="center"/>
              <w:rPr>
                <w:rFonts w:ascii="Aptos" w:eastAsia="Aptos" w:hAnsi="Aptos" w:cs="Aptos"/>
                <w:b/>
                <w:caps/>
                <w:color w:val="FFFFFF"/>
              </w:rPr>
            </w:pPr>
            <w:r w:rsidRPr="0026617A">
              <w:rPr>
                <w:rFonts w:ascii="Aptos" w:eastAsia="Aptos" w:hAnsi="Aptos" w:cs="Aptos"/>
                <w:b/>
                <w:caps/>
                <w:color w:val="FFFFFF"/>
              </w:rPr>
              <w:t>Basis / Notes</w:t>
            </w:r>
          </w:p>
        </w:tc>
      </w:tr>
      <w:tr w:rsidR="00EC6B44" w14:paraId="70CFEC2C" w14:textId="77777777">
        <w:tc>
          <w:tcPr>
            <w:tcW w:w="3200" w:type="dxa"/>
            <w:tcMar>
              <w:top w:w="60" w:type="dxa"/>
              <w:left w:w="110" w:type="dxa"/>
              <w:bottom w:w="60" w:type="dxa"/>
              <w:right w:w="110" w:type="dxa"/>
            </w:tcMar>
            <w:vAlign w:val="center"/>
          </w:tcPr>
          <w:p w14:paraId="007D1EE8" w14:textId="77777777" w:rsidR="00EC6B44" w:rsidRDefault="002F2653">
            <w:r>
              <w:rPr>
                <w:rFonts w:ascii="Aptos" w:eastAsia="Aptos" w:hAnsi="Aptos" w:cs="Aptos"/>
                <w:color w:val="7C7C81"/>
              </w:rPr>
              <w:t>Recruitment records (unsuccessful applicants)</w:t>
            </w:r>
          </w:p>
        </w:tc>
        <w:tc>
          <w:tcPr>
            <w:tcW w:w="2639" w:type="dxa"/>
            <w:tcMar>
              <w:top w:w="60" w:type="dxa"/>
              <w:left w:w="110" w:type="dxa"/>
              <w:bottom w:w="60" w:type="dxa"/>
              <w:right w:w="110" w:type="dxa"/>
            </w:tcMar>
            <w:vAlign w:val="center"/>
          </w:tcPr>
          <w:p w14:paraId="5B175C08" w14:textId="77777777" w:rsidR="00EC6B44" w:rsidRDefault="002F2653">
            <w:r>
              <w:rPr>
                <w:rFonts w:ascii="Aptos" w:eastAsia="Aptos" w:hAnsi="Aptos" w:cs="Aptos"/>
                <w:color w:val="7C7C81"/>
              </w:rPr>
              <w:t>6 - 12 months after the decision</w:t>
            </w:r>
          </w:p>
        </w:tc>
        <w:tc>
          <w:tcPr>
            <w:tcW w:w="3800" w:type="dxa"/>
            <w:tcMar>
              <w:top w:w="60" w:type="dxa"/>
              <w:left w:w="110" w:type="dxa"/>
              <w:bottom w:w="60" w:type="dxa"/>
              <w:right w:w="110" w:type="dxa"/>
            </w:tcMar>
            <w:vAlign w:val="center"/>
          </w:tcPr>
          <w:p w14:paraId="2A329020" w14:textId="77777777" w:rsidR="00EC6B44" w:rsidRDefault="002F2653">
            <w:r>
              <w:rPr>
                <w:rFonts w:ascii="Aptos" w:eastAsia="Aptos" w:hAnsi="Aptos" w:cs="Aptos"/>
                <w:color w:val="7C7C81"/>
              </w:rPr>
              <w:t>Discrimination / equality claim limitation</w:t>
            </w:r>
          </w:p>
        </w:tc>
      </w:tr>
      <w:tr w:rsidR="00EC6B44" w14:paraId="1EE5F7D3" w14:textId="77777777">
        <w:tc>
          <w:tcPr>
            <w:tcW w:w="3200" w:type="dxa"/>
            <w:tcMar>
              <w:top w:w="60" w:type="dxa"/>
              <w:left w:w="110" w:type="dxa"/>
              <w:bottom w:w="60" w:type="dxa"/>
              <w:right w:w="110" w:type="dxa"/>
            </w:tcMar>
            <w:vAlign w:val="center"/>
          </w:tcPr>
          <w:p w14:paraId="73A437F0" w14:textId="77777777" w:rsidR="00EC6B44" w:rsidRDefault="002F2653">
            <w:r>
              <w:rPr>
                <w:rFonts w:ascii="Aptos" w:eastAsia="Aptos" w:hAnsi="Aptos" w:cs="Aptos"/>
                <w:color w:val="7C7C81"/>
              </w:rPr>
              <w:t>Personnel / employment file</w:t>
            </w:r>
          </w:p>
        </w:tc>
        <w:tc>
          <w:tcPr>
            <w:tcW w:w="2639" w:type="dxa"/>
            <w:tcMar>
              <w:top w:w="60" w:type="dxa"/>
              <w:left w:w="110" w:type="dxa"/>
              <w:bottom w:w="60" w:type="dxa"/>
              <w:right w:w="110" w:type="dxa"/>
            </w:tcMar>
            <w:vAlign w:val="center"/>
          </w:tcPr>
          <w:p w14:paraId="7E02D803" w14:textId="77777777" w:rsidR="00EC6B44" w:rsidRDefault="002F2653">
            <w:r>
              <w:rPr>
                <w:rFonts w:ascii="Aptos" w:eastAsia="Aptos" w:hAnsi="Aptos" w:cs="Aptos"/>
                <w:color w:val="7C7C81"/>
              </w:rPr>
              <w:t>6 years after employment ends</w:t>
            </w:r>
          </w:p>
        </w:tc>
        <w:tc>
          <w:tcPr>
            <w:tcW w:w="3800" w:type="dxa"/>
            <w:tcMar>
              <w:top w:w="60" w:type="dxa"/>
              <w:left w:w="110" w:type="dxa"/>
              <w:bottom w:w="60" w:type="dxa"/>
              <w:right w:w="110" w:type="dxa"/>
            </w:tcMar>
            <w:vAlign w:val="center"/>
          </w:tcPr>
          <w:p w14:paraId="4E25E599" w14:textId="77777777" w:rsidR="00EC6B44" w:rsidRDefault="002F2653">
            <w:r>
              <w:rPr>
                <w:rFonts w:ascii="Aptos" w:eastAsia="Aptos" w:hAnsi="Aptos" w:cs="Aptos"/>
                <w:color w:val="7C7C81"/>
              </w:rPr>
              <w:t>Limitation Act; contractual claims</w:t>
            </w:r>
          </w:p>
        </w:tc>
      </w:tr>
      <w:tr w:rsidR="00EC6B44" w14:paraId="0F83B7CB" w14:textId="77777777">
        <w:tc>
          <w:tcPr>
            <w:tcW w:w="3200" w:type="dxa"/>
            <w:tcMar>
              <w:top w:w="60" w:type="dxa"/>
              <w:left w:w="110" w:type="dxa"/>
              <w:bottom w:w="60" w:type="dxa"/>
              <w:right w:w="110" w:type="dxa"/>
            </w:tcMar>
            <w:vAlign w:val="center"/>
          </w:tcPr>
          <w:p w14:paraId="776119F0" w14:textId="77777777" w:rsidR="00EC6B44" w:rsidRDefault="002F2653">
            <w:r>
              <w:rPr>
                <w:rFonts w:ascii="Aptos" w:eastAsia="Aptos" w:hAnsi="Aptos" w:cs="Aptos"/>
                <w:color w:val="7C7C81"/>
              </w:rPr>
              <w:t>Payroll and wage records</w:t>
            </w:r>
          </w:p>
        </w:tc>
        <w:tc>
          <w:tcPr>
            <w:tcW w:w="2639" w:type="dxa"/>
            <w:tcMar>
              <w:top w:w="60" w:type="dxa"/>
              <w:left w:w="110" w:type="dxa"/>
              <w:bottom w:w="60" w:type="dxa"/>
              <w:right w:w="110" w:type="dxa"/>
            </w:tcMar>
            <w:vAlign w:val="center"/>
          </w:tcPr>
          <w:p w14:paraId="632D068B" w14:textId="77777777" w:rsidR="00EC6B44" w:rsidRDefault="002F2653">
            <w:r>
              <w:rPr>
                <w:rFonts w:ascii="Aptos" w:eastAsia="Aptos" w:hAnsi="Aptos" w:cs="Aptos"/>
                <w:color w:val="7C7C81"/>
              </w:rPr>
              <w:t>6 years</w:t>
            </w:r>
          </w:p>
        </w:tc>
        <w:tc>
          <w:tcPr>
            <w:tcW w:w="3800" w:type="dxa"/>
            <w:tcMar>
              <w:top w:w="60" w:type="dxa"/>
              <w:left w:w="110" w:type="dxa"/>
              <w:bottom w:w="60" w:type="dxa"/>
              <w:right w:w="110" w:type="dxa"/>
            </w:tcMar>
            <w:vAlign w:val="center"/>
          </w:tcPr>
          <w:p w14:paraId="5160F429" w14:textId="77777777" w:rsidR="00EC6B44" w:rsidRDefault="002F2653">
            <w:r>
              <w:rPr>
                <w:rFonts w:ascii="Aptos" w:eastAsia="Aptos" w:hAnsi="Aptos" w:cs="Aptos"/>
                <w:color w:val="7C7C81"/>
              </w:rPr>
              <w:t>HMRC / tax requirements</w:t>
            </w:r>
          </w:p>
        </w:tc>
      </w:tr>
      <w:tr w:rsidR="00EC6B44" w14:paraId="5D5234DE" w14:textId="77777777">
        <w:tc>
          <w:tcPr>
            <w:tcW w:w="3200" w:type="dxa"/>
            <w:tcMar>
              <w:top w:w="60" w:type="dxa"/>
              <w:left w:w="110" w:type="dxa"/>
              <w:bottom w:w="60" w:type="dxa"/>
              <w:right w:w="110" w:type="dxa"/>
            </w:tcMar>
            <w:vAlign w:val="center"/>
          </w:tcPr>
          <w:p w14:paraId="4B2E93A1" w14:textId="77777777" w:rsidR="00EC6B44" w:rsidRDefault="002F2653">
            <w:r>
              <w:rPr>
                <w:rFonts w:ascii="Aptos" w:eastAsia="Aptos" w:hAnsi="Aptos" w:cs="Aptos"/>
                <w:color w:val="7C7C81"/>
              </w:rPr>
              <w:t>Statutory maternity/paternity/sick pay</w:t>
            </w:r>
          </w:p>
        </w:tc>
        <w:tc>
          <w:tcPr>
            <w:tcW w:w="2639" w:type="dxa"/>
            <w:tcMar>
              <w:top w:w="60" w:type="dxa"/>
              <w:left w:w="110" w:type="dxa"/>
              <w:bottom w:w="60" w:type="dxa"/>
              <w:right w:w="110" w:type="dxa"/>
            </w:tcMar>
            <w:vAlign w:val="center"/>
          </w:tcPr>
          <w:p w14:paraId="54E259C2" w14:textId="77777777" w:rsidR="00EC6B44" w:rsidRDefault="002F2653">
            <w:r>
              <w:rPr>
                <w:rFonts w:ascii="Aptos" w:eastAsia="Aptos" w:hAnsi="Aptos" w:cs="Aptos"/>
                <w:color w:val="7C7C81"/>
              </w:rPr>
              <w:t>3 years after the tax year</w:t>
            </w:r>
          </w:p>
        </w:tc>
        <w:tc>
          <w:tcPr>
            <w:tcW w:w="3800" w:type="dxa"/>
            <w:tcMar>
              <w:top w:w="60" w:type="dxa"/>
              <w:left w:w="110" w:type="dxa"/>
              <w:bottom w:w="60" w:type="dxa"/>
              <w:right w:w="110" w:type="dxa"/>
            </w:tcMar>
            <w:vAlign w:val="center"/>
          </w:tcPr>
          <w:p w14:paraId="0A9A5241" w14:textId="77777777" w:rsidR="00EC6B44" w:rsidRDefault="002F2653">
            <w:r>
              <w:rPr>
                <w:rFonts w:ascii="Aptos" w:eastAsia="Aptos" w:hAnsi="Aptos" w:cs="Aptos"/>
                <w:color w:val="7C7C81"/>
              </w:rPr>
              <w:t>HMRC requirements</w:t>
            </w:r>
          </w:p>
        </w:tc>
      </w:tr>
      <w:tr w:rsidR="00EC6B44" w14:paraId="5676F9D9" w14:textId="77777777">
        <w:tc>
          <w:tcPr>
            <w:tcW w:w="3200" w:type="dxa"/>
            <w:tcMar>
              <w:top w:w="60" w:type="dxa"/>
              <w:left w:w="110" w:type="dxa"/>
              <w:bottom w:w="60" w:type="dxa"/>
              <w:right w:w="110" w:type="dxa"/>
            </w:tcMar>
            <w:vAlign w:val="center"/>
          </w:tcPr>
          <w:p w14:paraId="35C31DC3" w14:textId="77777777" w:rsidR="00EC6B44" w:rsidRDefault="002F2653">
            <w:r>
              <w:rPr>
                <w:rFonts w:ascii="Aptos" w:eastAsia="Aptos" w:hAnsi="Aptos" w:cs="Aptos"/>
                <w:color w:val="7C7C81"/>
              </w:rPr>
              <w:t>Working time / holiday records</w:t>
            </w:r>
          </w:p>
        </w:tc>
        <w:tc>
          <w:tcPr>
            <w:tcW w:w="2639" w:type="dxa"/>
            <w:tcMar>
              <w:top w:w="60" w:type="dxa"/>
              <w:left w:w="110" w:type="dxa"/>
              <w:bottom w:w="60" w:type="dxa"/>
              <w:right w:w="110" w:type="dxa"/>
            </w:tcMar>
            <w:vAlign w:val="center"/>
          </w:tcPr>
          <w:p w14:paraId="19599803" w14:textId="77777777" w:rsidR="00EC6B44" w:rsidRDefault="002F2653">
            <w:r>
              <w:rPr>
                <w:rFonts w:ascii="Aptos" w:eastAsia="Aptos" w:hAnsi="Aptos" w:cs="Aptos"/>
                <w:color w:val="7C7C81"/>
              </w:rPr>
              <w:t>2 - 3 years</w:t>
            </w:r>
          </w:p>
        </w:tc>
        <w:tc>
          <w:tcPr>
            <w:tcW w:w="3800" w:type="dxa"/>
            <w:tcMar>
              <w:top w:w="60" w:type="dxa"/>
              <w:left w:w="110" w:type="dxa"/>
              <w:bottom w:w="60" w:type="dxa"/>
              <w:right w:w="110" w:type="dxa"/>
            </w:tcMar>
            <w:vAlign w:val="center"/>
          </w:tcPr>
          <w:p w14:paraId="1D295A39" w14:textId="77777777" w:rsidR="00EC6B44" w:rsidRDefault="002F2653">
            <w:r>
              <w:rPr>
                <w:rFonts w:ascii="Aptos" w:eastAsia="Aptos" w:hAnsi="Aptos" w:cs="Aptos"/>
                <w:color w:val="7C7C81"/>
              </w:rPr>
              <w:t>Working Time Regulations 1998</w:t>
            </w:r>
          </w:p>
        </w:tc>
      </w:tr>
      <w:tr w:rsidR="00EC6B44" w14:paraId="6E7DD4AB" w14:textId="77777777">
        <w:tc>
          <w:tcPr>
            <w:tcW w:w="3200" w:type="dxa"/>
            <w:tcMar>
              <w:top w:w="60" w:type="dxa"/>
              <w:left w:w="110" w:type="dxa"/>
              <w:bottom w:w="60" w:type="dxa"/>
              <w:right w:w="110" w:type="dxa"/>
            </w:tcMar>
            <w:vAlign w:val="center"/>
          </w:tcPr>
          <w:p w14:paraId="2D5BDC11" w14:textId="77777777" w:rsidR="00EC6B44" w:rsidRDefault="002F2653">
            <w:r>
              <w:rPr>
                <w:rFonts w:ascii="Aptos" w:eastAsia="Aptos" w:hAnsi="Aptos" w:cs="Aptos"/>
                <w:color w:val="7C7C81"/>
              </w:rPr>
              <w:t>Right to work check documents</w:t>
            </w:r>
          </w:p>
        </w:tc>
        <w:tc>
          <w:tcPr>
            <w:tcW w:w="2639" w:type="dxa"/>
            <w:tcMar>
              <w:top w:w="60" w:type="dxa"/>
              <w:left w:w="110" w:type="dxa"/>
              <w:bottom w:w="60" w:type="dxa"/>
              <w:right w:w="110" w:type="dxa"/>
            </w:tcMar>
            <w:vAlign w:val="center"/>
          </w:tcPr>
          <w:p w14:paraId="381630AC" w14:textId="77777777" w:rsidR="00EC6B44" w:rsidRDefault="002F2653">
            <w:r>
              <w:rPr>
                <w:rFonts w:ascii="Aptos" w:eastAsia="Aptos" w:hAnsi="Aptos" w:cs="Aptos"/>
                <w:color w:val="7C7C81"/>
              </w:rPr>
              <w:t>2 years after employment ends</w:t>
            </w:r>
          </w:p>
        </w:tc>
        <w:tc>
          <w:tcPr>
            <w:tcW w:w="3800" w:type="dxa"/>
            <w:tcMar>
              <w:top w:w="60" w:type="dxa"/>
              <w:left w:w="110" w:type="dxa"/>
              <w:bottom w:w="60" w:type="dxa"/>
              <w:right w:w="110" w:type="dxa"/>
            </w:tcMar>
            <w:vAlign w:val="center"/>
          </w:tcPr>
          <w:p w14:paraId="46560EAD" w14:textId="77777777" w:rsidR="00EC6B44" w:rsidRDefault="002F2653">
            <w:r>
              <w:rPr>
                <w:rFonts w:ascii="Aptos" w:eastAsia="Aptos" w:hAnsi="Aptos" w:cs="Aptos"/>
                <w:color w:val="7C7C81"/>
              </w:rPr>
              <w:t>Home Office guidance</w:t>
            </w:r>
          </w:p>
        </w:tc>
      </w:tr>
      <w:tr w:rsidR="00EC6B44" w14:paraId="0FEF8FAB" w14:textId="77777777">
        <w:tc>
          <w:tcPr>
            <w:tcW w:w="3200" w:type="dxa"/>
            <w:tcMar>
              <w:top w:w="60" w:type="dxa"/>
              <w:left w:w="110" w:type="dxa"/>
              <w:bottom w:w="60" w:type="dxa"/>
              <w:right w:w="110" w:type="dxa"/>
            </w:tcMar>
            <w:vAlign w:val="center"/>
          </w:tcPr>
          <w:p w14:paraId="6C548B72" w14:textId="77777777" w:rsidR="00EC6B44" w:rsidRDefault="002F2653">
            <w:r>
              <w:rPr>
                <w:rFonts w:ascii="Aptos" w:eastAsia="Aptos" w:hAnsi="Aptos" w:cs="Aptos"/>
                <w:color w:val="7C7C81"/>
              </w:rPr>
              <w:t>Pension records</w:t>
            </w:r>
          </w:p>
        </w:tc>
        <w:tc>
          <w:tcPr>
            <w:tcW w:w="2639" w:type="dxa"/>
            <w:tcMar>
              <w:top w:w="60" w:type="dxa"/>
              <w:left w:w="110" w:type="dxa"/>
              <w:bottom w:w="60" w:type="dxa"/>
              <w:right w:w="110" w:type="dxa"/>
            </w:tcMar>
            <w:vAlign w:val="center"/>
          </w:tcPr>
          <w:p w14:paraId="027680D7" w14:textId="77777777" w:rsidR="00EC6B44" w:rsidRDefault="002F2653">
            <w:r>
              <w:rPr>
                <w:rFonts w:ascii="Aptos" w:eastAsia="Aptos" w:hAnsi="Aptos" w:cs="Aptos"/>
                <w:color w:val="7C7C81"/>
              </w:rPr>
              <w:t>Up to 6 years (or longer)</w:t>
            </w:r>
          </w:p>
        </w:tc>
        <w:tc>
          <w:tcPr>
            <w:tcW w:w="3800" w:type="dxa"/>
            <w:tcMar>
              <w:top w:w="60" w:type="dxa"/>
              <w:left w:w="110" w:type="dxa"/>
              <w:bottom w:w="60" w:type="dxa"/>
              <w:right w:w="110" w:type="dxa"/>
            </w:tcMar>
            <w:vAlign w:val="center"/>
          </w:tcPr>
          <w:p w14:paraId="1739654A" w14:textId="77777777" w:rsidR="00EC6B44" w:rsidRDefault="002F2653">
            <w:r>
              <w:rPr>
                <w:rFonts w:ascii="Aptos" w:eastAsia="Aptos" w:hAnsi="Aptos" w:cs="Aptos"/>
                <w:color w:val="7C7C81"/>
              </w:rPr>
              <w:t>Trustee / provider requirements</w:t>
            </w:r>
          </w:p>
        </w:tc>
      </w:tr>
      <w:tr w:rsidR="00EC6B44" w14:paraId="2FC513ED" w14:textId="77777777">
        <w:tc>
          <w:tcPr>
            <w:tcW w:w="3200" w:type="dxa"/>
            <w:tcMar>
              <w:top w:w="60" w:type="dxa"/>
              <w:left w:w="110" w:type="dxa"/>
              <w:bottom w:w="60" w:type="dxa"/>
              <w:right w:w="110" w:type="dxa"/>
            </w:tcMar>
            <w:vAlign w:val="center"/>
          </w:tcPr>
          <w:p w14:paraId="74675E0C" w14:textId="77777777" w:rsidR="00EC6B44" w:rsidRDefault="002F2653">
            <w:r>
              <w:rPr>
                <w:rFonts w:ascii="Aptos" w:eastAsia="Aptos" w:hAnsi="Aptos" w:cs="Aptos"/>
                <w:color w:val="7C7C81"/>
              </w:rPr>
              <w:t>Accident / health &amp; safety records</w:t>
            </w:r>
          </w:p>
        </w:tc>
        <w:tc>
          <w:tcPr>
            <w:tcW w:w="2639" w:type="dxa"/>
            <w:tcMar>
              <w:top w:w="60" w:type="dxa"/>
              <w:left w:w="110" w:type="dxa"/>
              <w:bottom w:w="60" w:type="dxa"/>
              <w:right w:w="110" w:type="dxa"/>
            </w:tcMar>
            <w:vAlign w:val="center"/>
          </w:tcPr>
          <w:p w14:paraId="3C8FE4C7" w14:textId="77777777" w:rsidR="00EC6B44" w:rsidRDefault="002F2653">
            <w:r>
              <w:rPr>
                <w:rFonts w:ascii="Aptos" w:eastAsia="Aptos" w:hAnsi="Aptos" w:cs="Aptos"/>
                <w:color w:val="7C7C81"/>
              </w:rPr>
              <w:t>At least 3 years; up to 40 years where hazardous exposure</w:t>
            </w:r>
          </w:p>
        </w:tc>
        <w:tc>
          <w:tcPr>
            <w:tcW w:w="3800" w:type="dxa"/>
            <w:tcMar>
              <w:top w:w="60" w:type="dxa"/>
              <w:left w:w="110" w:type="dxa"/>
              <w:bottom w:w="60" w:type="dxa"/>
              <w:right w:w="110" w:type="dxa"/>
            </w:tcMar>
            <w:vAlign w:val="center"/>
          </w:tcPr>
          <w:p w14:paraId="774867DA" w14:textId="77777777" w:rsidR="00EC6B44" w:rsidRDefault="002F2653">
            <w:r>
              <w:rPr>
                <w:rFonts w:ascii="Aptos" w:eastAsia="Aptos" w:hAnsi="Aptos" w:cs="Aptos"/>
                <w:color w:val="7C7C81"/>
              </w:rPr>
              <w:t>RIDDOR / COSHH</w:t>
            </w:r>
          </w:p>
        </w:tc>
      </w:tr>
      <w:tr w:rsidR="00EC6B44" w14:paraId="27DB7F34" w14:textId="77777777">
        <w:tc>
          <w:tcPr>
            <w:tcW w:w="3200" w:type="dxa"/>
            <w:tcMar>
              <w:top w:w="60" w:type="dxa"/>
              <w:left w:w="110" w:type="dxa"/>
              <w:bottom w:w="60" w:type="dxa"/>
              <w:right w:w="110" w:type="dxa"/>
            </w:tcMar>
            <w:vAlign w:val="center"/>
          </w:tcPr>
          <w:p w14:paraId="369A3D25" w14:textId="77777777" w:rsidR="00EC6B44" w:rsidRDefault="002F2653">
            <w:r>
              <w:rPr>
                <w:rFonts w:ascii="Aptos" w:eastAsia="Aptos" w:hAnsi="Aptos" w:cs="Aptos"/>
                <w:color w:val="7C7C81"/>
              </w:rPr>
              <w:t>Disciplinary &amp; grievance records</w:t>
            </w:r>
          </w:p>
        </w:tc>
        <w:tc>
          <w:tcPr>
            <w:tcW w:w="2639" w:type="dxa"/>
            <w:tcMar>
              <w:top w:w="60" w:type="dxa"/>
              <w:left w:w="110" w:type="dxa"/>
              <w:bottom w:w="60" w:type="dxa"/>
              <w:right w:w="110" w:type="dxa"/>
            </w:tcMar>
            <w:vAlign w:val="center"/>
          </w:tcPr>
          <w:p w14:paraId="56288A4F" w14:textId="77777777" w:rsidR="00EC6B44" w:rsidRDefault="002F2653">
            <w:r>
              <w:rPr>
                <w:rFonts w:ascii="Aptos" w:eastAsia="Aptos" w:hAnsi="Aptos" w:cs="Aptos"/>
                <w:color w:val="7C7C81"/>
              </w:rPr>
              <w:t>As set out in outcome; typically up to 6 years</w:t>
            </w:r>
          </w:p>
        </w:tc>
        <w:tc>
          <w:tcPr>
            <w:tcW w:w="3800" w:type="dxa"/>
            <w:tcMar>
              <w:top w:w="60" w:type="dxa"/>
              <w:left w:w="110" w:type="dxa"/>
              <w:bottom w:w="60" w:type="dxa"/>
              <w:right w:w="110" w:type="dxa"/>
            </w:tcMar>
            <w:vAlign w:val="center"/>
          </w:tcPr>
          <w:p w14:paraId="6C4ED8AE" w14:textId="77777777" w:rsidR="00EC6B44" w:rsidRDefault="002F2653">
            <w:r>
              <w:rPr>
                <w:rFonts w:ascii="Aptos" w:eastAsia="Aptos" w:hAnsi="Aptos" w:cs="Aptos"/>
                <w:color w:val="7C7C81"/>
              </w:rPr>
              <w:t>Business and legal need</w:t>
            </w:r>
          </w:p>
        </w:tc>
      </w:tr>
      <w:tr w:rsidR="00EC6B44" w14:paraId="597FA517" w14:textId="77777777">
        <w:tc>
          <w:tcPr>
            <w:tcW w:w="3200" w:type="dxa"/>
            <w:tcMar>
              <w:top w:w="60" w:type="dxa"/>
              <w:left w:w="110" w:type="dxa"/>
              <w:bottom w:w="60" w:type="dxa"/>
              <w:right w:w="110" w:type="dxa"/>
            </w:tcMar>
            <w:vAlign w:val="center"/>
          </w:tcPr>
          <w:p w14:paraId="2AABA843" w14:textId="77777777" w:rsidR="00EC6B44" w:rsidRDefault="002F2653">
            <w:r>
              <w:rPr>
                <w:rFonts w:ascii="Aptos" w:eastAsia="Aptos" w:hAnsi="Aptos" w:cs="Aptos"/>
                <w:color w:val="7C7C81"/>
              </w:rPr>
              <w:t>Occupational health / medical records</w:t>
            </w:r>
          </w:p>
        </w:tc>
        <w:tc>
          <w:tcPr>
            <w:tcW w:w="2639" w:type="dxa"/>
            <w:tcMar>
              <w:top w:w="60" w:type="dxa"/>
              <w:left w:w="110" w:type="dxa"/>
              <w:bottom w:w="60" w:type="dxa"/>
              <w:right w:w="110" w:type="dxa"/>
            </w:tcMar>
            <w:vAlign w:val="center"/>
          </w:tcPr>
          <w:p w14:paraId="1662D8ED" w14:textId="77777777" w:rsidR="00EC6B44" w:rsidRDefault="002F2653">
            <w:r>
              <w:rPr>
                <w:rFonts w:ascii="Aptos" w:eastAsia="Aptos" w:hAnsi="Aptos" w:cs="Aptos"/>
                <w:color w:val="7C7C81"/>
              </w:rPr>
              <w:t>As advised by OH; may be longer for exposure</w:t>
            </w:r>
          </w:p>
        </w:tc>
        <w:tc>
          <w:tcPr>
            <w:tcW w:w="3800" w:type="dxa"/>
            <w:tcMar>
              <w:top w:w="60" w:type="dxa"/>
              <w:left w:w="110" w:type="dxa"/>
              <w:bottom w:w="60" w:type="dxa"/>
              <w:right w:w="110" w:type="dxa"/>
            </w:tcMar>
            <w:vAlign w:val="center"/>
          </w:tcPr>
          <w:p w14:paraId="6928B39E" w14:textId="77777777" w:rsidR="00EC6B44" w:rsidRDefault="002F2653">
            <w:r>
              <w:rPr>
                <w:rFonts w:ascii="Aptos" w:eastAsia="Aptos" w:hAnsi="Aptos" w:cs="Aptos"/>
                <w:color w:val="7C7C81"/>
              </w:rPr>
              <w:t>Special category data - minimise</w:t>
            </w:r>
          </w:p>
        </w:tc>
      </w:tr>
      <w:tr w:rsidR="00547BDA" w14:paraId="1CB49816" w14:textId="77777777">
        <w:tc>
          <w:tcPr>
            <w:tcW w:w="3200" w:type="dxa"/>
            <w:tcMar>
              <w:top w:w="60" w:type="dxa"/>
              <w:left w:w="110" w:type="dxa"/>
              <w:bottom w:w="60" w:type="dxa"/>
              <w:right w:w="110" w:type="dxa"/>
            </w:tcMar>
            <w:vAlign w:val="center"/>
          </w:tcPr>
          <w:p w14:paraId="2C7FB45C" w14:textId="4620ECC8" w:rsidR="00547BDA" w:rsidRDefault="00547BDA">
            <w:pPr>
              <w:rPr>
                <w:rFonts w:ascii="Aptos" w:eastAsia="Aptos" w:hAnsi="Aptos" w:cs="Aptos"/>
                <w:color w:val="7C7C81"/>
              </w:rPr>
            </w:pPr>
            <w:r w:rsidRPr="00547BDA">
              <w:rPr>
                <w:rFonts w:ascii="Aptos" w:eastAsia="Aptos" w:hAnsi="Aptos" w:cs="Aptos"/>
                <w:color w:val="7C7C81"/>
              </w:rPr>
              <w:t>Contracts with suppliers/customers</w:t>
            </w:r>
          </w:p>
        </w:tc>
        <w:tc>
          <w:tcPr>
            <w:tcW w:w="2639" w:type="dxa"/>
            <w:tcMar>
              <w:top w:w="60" w:type="dxa"/>
              <w:left w:w="110" w:type="dxa"/>
              <w:bottom w:w="60" w:type="dxa"/>
              <w:right w:w="110" w:type="dxa"/>
            </w:tcMar>
            <w:vAlign w:val="center"/>
          </w:tcPr>
          <w:p w14:paraId="3A36FFFE" w14:textId="6076F4EE" w:rsidR="00547BDA" w:rsidRDefault="00547BDA">
            <w:pPr>
              <w:rPr>
                <w:rFonts w:ascii="Aptos" w:eastAsia="Aptos" w:hAnsi="Aptos" w:cs="Aptos"/>
                <w:color w:val="7C7C81"/>
              </w:rPr>
            </w:pPr>
            <w:r w:rsidRPr="00547BDA">
              <w:rPr>
                <w:rFonts w:ascii="Aptos" w:eastAsia="Aptos" w:hAnsi="Aptos" w:cs="Aptos"/>
                <w:color w:val="7C7C81"/>
              </w:rPr>
              <w:t>6 years after expiry</w:t>
            </w:r>
          </w:p>
        </w:tc>
        <w:tc>
          <w:tcPr>
            <w:tcW w:w="3800" w:type="dxa"/>
            <w:tcMar>
              <w:top w:w="60" w:type="dxa"/>
              <w:left w:w="110" w:type="dxa"/>
              <w:bottom w:w="60" w:type="dxa"/>
              <w:right w:w="110" w:type="dxa"/>
            </w:tcMar>
            <w:vAlign w:val="center"/>
          </w:tcPr>
          <w:p w14:paraId="6B07938E" w14:textId="773F0A1A" w:rsidR="00547BDA" w:rsidRDefault="00547BDA">
            <w:pPr>
              <w:rPr>
                <w:rFonts w:ascii="Aptos" w:eastAsia="Aptos" w:hAnsi="Aptos" w:cs="Aptos"/>
                <w:color w:val="7C7C81"/>
              </w:rPr>
            </w:pPr>
            <w:r>
              <w:rPr>
                <w:rFonts w:ascii="Aptos" w:eastAsia="Aptos" w:hAnsi="Aptos" w:cs="Aptos"/>
                <w:color w:val="7C7C81"/>
              </w:rPr>
              <w:t>Check any specific Contractual Agreements on a case by case basis</w:t>
            </w:r>
          </w:p>
        </w:tc>
      </w:tr>
    </w:tbl>
    <w:p w14:paraId="10ED4464" w14:textId="77777777" w:rsidR="00EC6B44" w:rsidRDefault="00EC6B44">
      <w:pPr>
        <w:spacing w:after="120"/>
      </w:pPr>
    </w:p>
    <w:p w14:paraId="79656C6B" w14:textId="77777777" w:rsidR="00EC6B44" w:rsidRDefault="002F2653">
      <w:pPr>
        <w:keepNext/>
        <w:spacing w:before="240" w:after="40"/>
      </w:pPr>
      <w:r>
        <w:rPr>
          <w:rFonts w:ascii="Aptos" w:eastAsia="Aptos" w:hAnsi="Aptos" w:cs="Aptos"/>
          <w:b/>
          <w:caps/>
          <w:color w:val="F29D22"/>
          <w:spacing w:val="20"/>
        </w:rPr>
        <w:t>SECTION 05</w:t>
      </w:r>
    </w:p>
    <w:p w14:paraId="42FD38A3" w14:textId="77777777" w:rsidR="00EC6B44" w:rsidRDefault="002F2653">
      <w:pPr>
        <w:keepNext/>
        <w:spacing w:after="60"/>
      </w:pPr>
      <w:r>
        <w:rPr>
          <w:rFonts w:ascii="Aptos" w:eastAsia="Aptos" w:hAnsi="Aptos" w:cs="Aptos"/>
          <w:b/>
          <w:color w:val="7C7C81"/>
          <w:sz w:val="24"/>
          <w:szCs w:val="24"/>
        </w:rPr>
        <w:t>Secure Storage</w:t>
      </w:r>
    </w:p>
    <w:p w14:paraId="0772911F" w14:textId="77777777" w:rsidR="00EC6B44" w:rsidRDefault="00EC6B44">
      <w:pPr>
        <w:pBdr>
          <w:bottom w:val="single" w:sz="6" w:space="6" w:color="B9B8B9"/>
        </w:pBdr>
        <w:spacing w:after="140"/>
      </w:pPr>
    </w:p>
    <w:p w14:paraId="513605D0" w14:textId="77777777" w:rsidR="00EC6B44" w:rsidRDefault="002F2653">
      <w:pPr>
        <w:spacing w:after="120" w:line="264" w:lineRule="auto"/>
        <w:rPr>
          <w:rFonts w:ascii="Aptos" w:eastAsia="Aptos" w:hAnsi="Aptos" w:cs="Aptos"/>
          <w:color w:val="7C7C81"/>
        </w:rPr>
      </w:pPr>
      <w:r>
        <w:rPr>
          <w:rFonts w:ascii="Aptos" w:eastAsia="Aptos" w:hAnsi="Aptos" w:cs="Aptos"/>
          <w:color w:val="7C7C81"/>
        </w:rPr>
        <w:t>Records are stored in secure systems with appropriate access controls, whether held electronically or in paper form. Special category data (such as health information) is subject to additional safeguards and is accessed only on a need-to-know basis.</w:t>
      </w:r>
    </w:p>
    <w:p w14:paraId="1CD8ABE0" w14:textId="77777777" w:rsidR="00B5446F" w:rsidRPr="00B5446F" w:rsidRDefault="00B5446F" w:rsidP="00B5446F">
      <w:pPr>
        <w:spacing w:after="120" w:line="264" w:lineRule="auto"/>
        <w:rPr>
          <w:rFonts w:ascii="Aptos" w:eastAsia="Aptos" w:hAnsi="Aptos" w:cs="Aptos"/>
          <w:color w:val="7C7C81"/>
        </w:rPr>
      </w:pPr>
      <w:r w:rsidRPr="00B5446F">
        <w:rPr>
          <w:rFonts w:ascii="Aptos" w:eastAsia="Aptos" w:hAnsi="Aptos" w:cs="Aptos"/>
          <w:color w:val="7C7C81"/>
        </w:rPr>
        <w:t>Electronic records should be protected through appropriate technical measures including encryption, access controls, backups and multi-factor authentication where appropriate.</w:t>
      </w:r>
    </w:p>
    <w:p w14:paraId="589B34D6" w14:textId="77777777" w:rsidR="00B5446F" w:rsidRDefault="00B5446F">
      <w:pPr>
        <w:spacing w:after="120" w:line="264" w:lineRule="auto"/>
      </w:pPr>
    </w:p>
    <w:p w14:paraId="138EF294" w14:textId="77777777" w:rsidR="000B6C47" w:rsidRDefault="000B6C47">
      <w:pPr>
        <w:rPr>
          <w:rFonts w:ascii="Aptos" w:eastAsia="Aptos" w:hAnsi="Aptos" w:cs="Aptos"/>
          <w:b/>
          <w:caps/>
          <w:color w:val="F29D22"/>
          <w:spacing w:val="20"/>
        </w:rPr>
      </w:pPr>
      <w:r>
        <w:rPr>
          <w:rFonts w:ascii="Aptos" w:eastAsia="Aptos" w:hAnsi="Aptos" w:cs="Aptos"/>
          <w:b/>
          <w:caps/>
          <w:color w:val="F29D22"/>
          <w:spacing w:val="20"/>
        </w:rPr>
        <w:br w:type="page"/>
      </w:r>
    </w:p>
    <w:p w14:paraId="2089D534" w14:textId="26728CC4" w:rsidR="00EC6B44" w:rsidRDefault="002F2653">
      <w:pPr>
        <w:keepNext/>
        <w:spacing w:before="240" w:after="40"/>
      </w:pPr>
      <w:r>
        <w:rPr>
          <w:rFonts w:ascii="Aptos" w:eastAsia="Aptos" w:hAnsi="Aptos" w:cs="Aptos"/>
          <w:b/>
          <w:caps/>
          <w:color w:val="F29D22"/>
          <w:spacing w:val="20"/>
        </w:rPr>
        <w:lastRenderedPageBreak/>
        <w:t>SECTION 06</w:t>
      </w:r>
    </w:p>
    <w:p w14:paraId="62C50128" w14:textId="77777777" w:rsidR="00EC6B44" w:rsidRDefault="002F2653">
      <w:pPr>
        <w:keepNext/>
        <w:spacing w:after="60"/>
      </w:pPr>
      <w:r>
        <w:rPr>
          <w:rFonts w:ascii="Aptos" w:eastAsia="Aptos" w:hAnsi="Aptos" w:cs="Aptos"/>
          <w:b/>
          <w:color w:val="7C7C81"/>
          <w:sz w:val="24"/>
          <w:szCs w:val="24"/>
        </w:rPr>
        <w:t>Secure Disposal</w:t>
      </w:r>
    </w:p>
    <w:p w14:paraId="3ACA507F" w14:textId="77777777" w:rsidR="00EC6B44" w:rsidRDefault="00EC6B44">
      <w:pPr>
        <w:pBdr>
          <w:bottom w:val="single" w:sz="6" w:space="6" w:color="B9B8B9"/>
        </w:pBdr>
        <w:spacing w:after="140"/>
      </w:pPr>
    </w:p>
    <w:p w14:paraId="1763EBCF" w14:textId="77777777" w:rsidR="000B6C47" w:rsidRDefault="002F2653" w:rsidP="000B6C47">
      <w:pPr>
        <w:spacing w:after="120" w:line="264" w:lineRule="auto"/>
        <w:rPr>
          <w:rFonts w:ascii="Aptos" w:eastAsia="Aptos" w:hAnsi="Aptos" w:cs="Aptos"/>
          <w:color w:val="7C7C81"/>
        </w:rPr>
      </w:pPr>
      <w:r>
        <w:rPr>
          <w:rFonts w:ascii="Aptos" w:eastAsia="Aptos" w:hAnsi="Aptos" w:cs="Aptos"/>
          <w:color w:val="7C7C81"/>
        </w:rPr>
        <w:t xml:space="preserve">When records reach the end of their retention period, they are disposed of securely: electronic records are permanently deleted from live and backup systems where practicable, and paper records are confidentially shredded. </w:t>
      </w:r>
    </w:p>
    <w:p w14:paraId="17704BA4" w14:textId="6DFCD428" w:rsidR="000B6C47" w:rsidRPr="000B6C47" w:rsidRDefault="002F2653" w:rsidP="000B6C47">
      <w:pPr>
        <w:spacing w:after="120" w:line="264" w:lineRule="auto"/>
        <w:rPr>
          <w:rFonts w:ascii="Aptos" w:eastAsia="Aptos" w:hAnsi="Aptos" w:cs="Aptos"/>
          <w:color w:val="7C7C81"/>
        </w:rPr>
      </w:pPr>
      <w:r>
        <w:rPr>
          <w:rFonts w:ascii="Aptos" w:eastAsia="Aptos" w:hAnsi="Aptos" w:cs="Aptos"/>
          <w:color w:val="7C7C81"/>
        </w:rPr>
        <w:t>Disposal of significant record sets should be logged.</w:t>
      </w:r>
      <w:r w:rsidR="000B6C47">
        <w:rPr>
          <w:rFonts w:ascii="Aptos" w:eastAsia="Aptos" w:hAnsi="Aptos" w:cs="Aptos"/>
          <w:color w:val="7C7C81"/>
        </w:rPr>
        <w:t xml:space="preserve"> </w:t>
      </w:r>
      <w:r w:rsidR="000B6C47" w:rsidRPr="000B6C47">
        <w:rPr>
          <w:rFonts w:ascii="Aptos" w:eastAsia="Aptos" w:hAnsi="Aptos" w:cs="Aptos"/>
          <w:color w:val="7C7C81"/>
        </w:rPr>
        <w:t>Where litigation, regulatory investigation or legal proceedings are anticipated or underway, normal retention periods will be suspended until the matter is concluded.</w:t>
      </w:r>
    </w:p>
    <w:p w14:paraId="7E7EE05D" w14:textId="4A129869" w:rsidR="00EC6B44" w:rsidRDefault="00EC6B44">
      <w:pPr>
        <w:spacing w:after="120" w:line="264" w:lineRule="auto"/>
      </w:pPr>
    </w:p>
    <w:p w14:paraId="647253E2" w14:textId="77777777" w:rsidR="00EC6B44" w:rsidRDefault="002F2653">
      <w:pPr>
        <w:keepNext/>
        <w:spacing w:before="240" w:after="40"/>
      </w:pPr>
      <w:r>
        <w:rPr>
          <w:rFonts w:ascii="Aptos" w:eastAsia="Aptos" w:hAnsi="Aptos" w:cs="Aptos"/>
          <w:b/>
          <w:caps/>
          <w:color w:val="F29D22"/>
          <w:spacing w:val="20"/>
        </w:rPr>
        <w:t>SECTION 07</w:t>
      </w:r>
    </w:p>
    <w:p w14:paraId="1108E7EF" w14:textId="77777777" w:rsidR="00EC6B44" w:rsidRDefault="002F2653">
      <w:pPr>
        <w:keepNext/>
        <w:spacing w:after="60"/>
      </w:pPr>
      <w:r>
        <w:rPr>
          <w:rFonts w:ascii="Aptos" w:eastAsia="Aptos" w:hAnsi="Aptos" w:cs="Aptos"/>
          <w:b/>
          <w:color w:val="7C7C81"/>
          <w:sz w:val="24"/>
          <w:szCs w:val="24"/>
        </w:rPr>
        <w:t>Review</w:t>
      </w:r>
    </w:p>
    <w:p w14:paraId="1DB685B5" w14:textId="77777777" w:rsidR="00EC6B44" w:rsidRDefault="00EC6B44">
      <w:pPr>
        <w:pBdr>
          <w:bottom w:val="single" w:sz="6" w:space="6" w:color="B9B8B9"/>
        </w:pBdr>
        <w:spacing w:after="140"/>
      </w:pPr>
    </w:p>
    <w:p w14:paraId="7E3427F9" w14:textId="77777777" w:rsidR="00EC6B44" w:rsidRDefault="002F2653">
      <w:pPr>
        <w:spacing w:after="120" w:line="264" w:lineRule="auto"/>
      </w:pPr>
      <w:r>
        <w:rPr>
          <w:rFonts w:ascii="Aptos" w:eastAsia="Aptos" w:hAnsi="Aptos" w:cs="Aptos"/>
          <w:color w:val="7C7C81"/>
        </w:rPr>
        <w:t>This policy and the retention schedule are reviewed at least annually, and whenever there is a relevant change in legislation, regulation or business practice.</w:t>
      </w:r>
    </w:p>
    <w:sectPr w:rsidR="00EC6B44">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6C881" w14:textId="77777777" w:rsidR="002269BC" w:rsidRDefault="002269BC">
      <w:r>
        <w:separator/>
      </w:r>
    </w:p>
  </w:endnote>
  <w:endnote w:type="continuationSeparator" w:id="0">
    <w:p w14:paraId="2152140B" w14:textId="77777777" w:rsidR="002269BC" w:rsidRDefault="00226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2AF6" w14:textId="77777777" w:rsidR="002C05C9" w:rsidRDefault="0030633A">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7AD32AF7" w14:textId="77777777" w:rsidR="002C05C9" w:rsidRDefault="0030633A">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74BD2" w14:textId="77777777" w:rsidR="002269BC" w:rsidRDefault="002269BC">
      <w:r>
        <w:separator/>
      </w:r>
    </w:p>
  </w:footnote>
  <w:footnote w:type="continuationSeparator" w:id="0">
    <w:p w14:paraId="2DD7D10D" w14:textId="77777777" w:rsidR="002269BC" w:rsidRDefault="00226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2AF4" w14:textId="77777777" w:rsidR="002C05C9" w:rsidRDefault="0030633A">
    <w:pPr>
      <w:jc w:val="center"/>
    </w:pPr>
    <w:r>
      <w:rPr>
        <w:noProof/>
      </w:rPr>
      <w:drawing>
        <wp:inline distT="0" distB="0" distL="0" distR="0" wp14:anchorId="7AD32AF8" wp14:editId="7AD32AF9">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7AD32AF5" w14:textId="77777777" w:rsidR="002C05C9" w:rsidRDefault="002C05C9">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326BD"/>
    <w:multiLevelType w:val="hybridMultilevel"/>
    <w:tmpl w:val="53BCB4A4"/>
    <w:lvl w:ilvl="0" w:tplc="AA7CC0A2">
      <w:start w:val="1"/>
      <w:numFmt w:val="bullet"/>
      <w:lvlText w:val="●"/>
      <w:lvlJc w:val="left"/>
      <w:pPr>
        <w:ind w:left="720" w:hanging="360"/>
      </w:pPr>
    </w:lvl>
    <w:lvl w:ilvl="1" w:tplc="B43294A2">
      <w:start w:val="1"/>
      <w:numFmt w:val="bullet"/>
      <w:lvlText w:val="○"/>
      <w:lvlJc w:val="left"/>
      <w:pPr>
        <w:ind w:left="1440" w:hanging="360"/>
      </w:pPr>
    </w:lvl>
    <w:lvl w:ilvl="2" w:tplc="B9AA5A12">
      <w:start w:val="1"/>
      <w:numFmt w:val="bullet"/>
      <w:lvlText w:val="■"/>
      <w:lvlJc w:val="left"/>
      <w:pPr>
        <w:ind w:left="2160" w:hanging="360"/>
      </w:pPr>
    </w:lvl>
    <w:lvl w:ilvl="3" w:tplc="E728821E">
      <w:start w:val="1"/>
      <w:numFmt w:val="bullet"/>
      <w:lvlText w:val="●"/>
      <w:lvlJc w:val="left"/>
      <w:pPr>
        <w:ind w:left="2880" w:hanging="360"/>
      </w:pPr>
    </w:lvl>
    <w:lvl w:ilvl="4" w:tplc="453EE056">
      <w:start w:val="1"/>
      <w:numFmt w:val="bullet"/>
      <w:lvlText w:val="○"/>
      <w:lvlJc w:val="left"/>
      <w:pPr>
        <w:ind w:left="3600" w:hanging="360"/>
      </w:pPr>
    </w:lvl>
    <w:lvl w:ilvl="5" w:tplc="DF5C657E">
      <w:start w:val="1"/>
      <w:numFmt w:val="bullet"/>
      <w:lvlText w:val="■"/>
      <w:lvlJc w:val="left"/>
      <w:pPr>
        <w:ind w:left="4320" w:hanging="360"/>
      </w:pPr>
    </w:lvl>
    <w:lvl w:ilvl="6" w:tplc="09508BB8">
      <w:start w:val="1"/>
      <w:numFmt w:val="bullet"/>
      <w:lvlText w:val="●"/>
      <w:lvlJc w:val="left"/>
      <w:pPr>
        <w:ind w:left="5040" w:hanging="360"/>
      </w:pPr>
    </w:lvl>
    <w:lvl w:ilvl="7" w:tplc="7AD85402">
      <w:start w:val="1"/>
      <w:numFmt w:val="bullet"/>
      <w:lvlText w:val="●"/>
      <w:lvlJc w:val="left"/>
      <w:pPr>
        <w:ind w:left="5760" w:hanging="360"/>
      </w:pPr>
    </w:lvl>
    <w:lvl w:ilvl="8" w:tplc="305EFA76">
      <w:start w:val="1"/>
      <w:numFmt w:val="bullet"/>
      <w:lvlText w:val="●"/>
      <w:lvlJc w:val="left"/>
      <w:pPr>
        <w:ind w:left="6480" w:hanging="360"/>
      </w:pPr>
    </w:lvl>
  </w:abstractNum>
  <w:num w:numId="1" w16cid:durableId="12775590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C9"/>
    <w:rsid w:val="000B6C47"/>
    <w:rsid w:val="00103266"/>
    <w:rsid w:val="002269BC"/>
    <w:rsid w:val="00230E1B"/>
    <w:rsid w:val="0026617A"/>
    <w:rsid w:val="00273569"/>
    <w:rsid w:val="002A5308"/>
    <w:rsid w:val="002C05C9"/>
    <w:rsid w:val="002C061C"/>
    <w:rsid w:val="002D5A47"/>
    <w:rsid w:val="002F2653"/>
    <w:rsid w:val="0030633A"/>
    <w:rsid w:val="004838E7"/>
    <w:rsid w:val="004F3097"/>
    <w:rsid w:val="00547BDA"/>
    <w:rsid w:val="00571942"/>
    <w:rsid w:val="00606A74"/>
    <w:rsid w:val="00612873"/>
    <w:rsid w:val="00626200"/>
    <w:rsid w:val="007E0905"/>
    <w:rsid w:val="0085455B"/>
    <w:rsid w:val="00996E17"/>
    <w:rsid w:val="00A3744B"/>
    <w:rsid w:val="00A74DE7"/>
    <w:rsid w:val="00B5446F"/>
    <w:rsid w:val="00CD7212"/>
    <w:rsid w:val="00DE4BC6"/>
    <w:rsid w:val="00E636FC"/>
    <w:rsid w:val="00E650D0"/>
    <w:rsid w:val="00EA4D76"/>
    <w:rsid w:val="00EC6B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32A8B"/>
  <w15:docId w15:val="{CA3ECB59-8C94-4507-BF78-54FC1A9B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663</Words>
  <Characters>3787</Characters>
  <Application>Microsoft Office Word</Application>
  <DocSecurity>0</DocSecurity>
  <Lines>130</Lines>
  <Paragraphs>92</Paragraphs>
  <ScaleCrop>false</ScaleCrop>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Leave Policy</dc:title>
  <dc:creator>White Cube Consulting</dc:creator>
  <cp:lastModifiedBy>Campbell Urquhart</cp:lastModifiedBy>
  <cp:revision>13</cp:revision>
  <dcterms:created xsi:type="dcterms:W3CDTF">2026-07-03T12:13:00Z</dcterms:created>
  <dcterms:modified xsi:type="dcterms:W3CDTF">2026-07-21T10:59:00Z</dcterms:modified>
</cp:coreProperties>
</file>