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EAC0B" w14:textId="77777777" w:rsidR="00D5605B" w:rsidRDefault="00810BD9">
      <w:pPr>
        <w:keepNext/>
        <w:spacing w:after="60"/>
        <w:jc w:val="center"/>
      </w:pPr>
      <w:r>
        <w:rPr>
          <w:rFonts w:ascii="Aptos" w:eastAsia="Aptos" w:hAnsi="Aptos" w:cs="Aptos"/>
          <w:b/>
          <w:bCs/>
          <w:color w:val="F29D22"/>
          <w:spacing w:val="22"/>
        </w:rPr>
        <w:t>HR POLICY</w:t>
      </w:r>
    </w:p>
    <w:p w14:paraId="64AEAC0C" w14:textId="77777777" w:rsidR="00D5605B" w:rsidRDefault="00810BD9">
      <w:pPr>
        <w:spacing w:after="60"/>
        <w:jc w:val="center"/>
      </w:pPr>
      <w:r>
        <w:rPr>
          <w:rFonts w:ascii="Aptos" w:eastAsia="Aptos" w:hAnsi="Aptos" w:cs="Aptos"/>
          <w:b/>
          <w:bCs/>
          <w:color w:val="7C7C81"/>
          <w:sz w:val="48"/>
          <w:szCs w:val="48"/>
        </w:rPr>
        <w:t>Data Protection GDPR Policy</w:t>
      </w:r>
    </w:p>
    <w:p w14:paraId="64AEAC0D" w14:textId="77777777" w:rsidR="00D5605B" w:rsidRDefault="00810BD9">
      <w:pPr>
        <w:spacing w:after="120"/>
        <w:jc w:val="center"/>
      </w:pPr>
      <w:r>
        <w:rPr>
          <w:rFonts w:ascii="Aptos" w:eastAsia="Aptos" w:hAnsi="Aptos" w:cs="Aptos"/>
          <w:color w:val="7C7C81"/>
        </w:rPr>
        <w:t>Workplace Policies  |  White Cube Consulting</w:t>
      </w:r>
    </w:p>
    <w:p w14:paraId="64AEAC0E" w14:textId="77777777" w:rsidR="00D5605B" w:rsidRDefault="00D5605B">
      <w:pPr>
        <w:keepNext/>
        <w:pBdr>
          <w:bottom w:val="single" w:sz="4" w:space="1" w:color="B9B8B9"/>
        </w:pBdr>
        <w:spacing w:after="200"/>
      </w:pPr>
    </w:p>
    <w:tbl>
      <w:tblPr>
        <w:tblW w:w="9638" w:type="dxa"/>
        <w:tblLayout w:type="fixed"/>
        <w:tblLook w:val="04A0" w:firstRow="1" w:lastRow="0" w:firstColumn="1" w:lastColumn="0" w:noHBand="0" w:noVBand="1"/>
      </w:tblPr>
      <w:tblGrid>
        <w:gridCol w:w="2700"/>
        <w:gridCol w:w="6938"/>
      </w:tblGrid>
      <w:tr w:rsidR="00F268E0" w14:paraId="1F1A919B"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1F2998A" w14:textId="77777777" w:rsidR="00F268E0" w:rsidRPr="00D202F7" w:rsidRDefault="00F268E0" w:rsidP="003F5E4D">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2F9400A" w14:textId="77777777" w:rsidR="00F268E0" w:rsidRPr="00BB5C44" w:rsidRDefault="00F268E0" w:rsidP="003F5E4D">
            <w:pPr>
              <w:rPr>
                <w:rFonts w:ascii="Aptos" w:eastAsia="Aptos" w:hAnsi="Aptos" w:cs="Aptos"/>
                <w:color w:val="7C7C81"/>
              </w:rPr>
            </w:pPr>
            <w:r>
              <w:rPr>
                <w:rFonts w:ascii="Aptos" w:eastAsia="Aptos" w:hAnsi="Aptos" w:cs="Aptos"/>
                <w:color w:val="7C7C81"/>
              </w:rPr>
              <w:t>[Organisation Name]</w:t>
            </w:r>
          </w:p>
        </w:tc>
      </w:tr>
      <w:tr w:rsidR="00F268E0" w14:paraId="0A06DDAD"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950B635" w14:textId="77777777" w:rsidR="00F268E0" w:rsidRPr="00D202F7" w:rsidRDefault="00F268E0" w:rsidP="003F5E4D">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86AF35D" w14:textId="77777777" w:rsidR="00F268E0" w:rsidRPr="00BB5C44" w:rsidRDefault="00F268E0" w:rsidP="003F5E4D">
            <w:pPr>
              <w:rPr>
                <w:rFonts w:ascii="Aptos" w:eastAsia="Aptos" w:hAnsi="Aptos" w:cs="Aptos"/>
                <w:color w:val="7C7C81"/>
              </w:rPr>
            </w:pPr>
            <w:r>
              <w:rPr>
                <w:rFonts w:ascii="Aptos" w:eastAsia="Aptos" w:hAnsi="Aptos" w:cs="Aptos"/>
                <w:color w:val="7C7C81"/>
              </w:rPr>
              <w:t>Version 1.0</w:t>
            </w:r>
          </w:p>
        </w:tc>
      </w:tr>
      <w:tr w:rsidR="00F268E0" w14:paraId="7E7884D7"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472F3BD" w14:textId="77777777" w:rsidR="00F268E0" w:rsidRPr="00D202F7" w:rsidRDefault="00F268E0" w:rsidP="003F5E4D">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8FD74DA" w14:textId="77777777" w:rsidR="00F268E0" w:rsidRPr="00BB5C44" w:rsidRDefault="00F268E0" w:rsidP="003F5E4D">
            <w:pPr>
              <w:rPr>
                <w:rFonts w:ascii="Aptos" w:eastAsia="Aptos" w:hAnsi="Aptos" w:cs="Aptos"/>
                <w:color w:val="7C7C81"/>
              </w:rPr>
            </w:pPr>
            <w:r>
              <w:rPr>
                <w:rFonts w:ascii="Aptos" w:eastAsia="Aptos" w:hAnsi="Aptos" w:cs="Aptos"/>
                <w:color w:val="7C7C81"/>
              </w:rPr>
              <w:t>[Date]</w:t>
            </w:r>
          </w:p>
        </w:tc>
      </w:tr>
      <w:tr w:rsidR="00F268E0" w14:paraId="180A1ECA"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8D2E67" w14:textId="77777777" w:rsidR="00F268E0" w:rsidRPr="00D202F7" w:rsidRDefault="00F268E0" w:rsidP="003F5E4D">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33A20D2" w14:textId="77777777" w:rsidR="00F268E0" w:rsidRPr="00BB5C44" w:rsidRDefault="00F268E0" w:rsidP="003F5E4D">
            <w:pPr>
              <w:rPr>
                <w:rFonts w:ascii="Aptos" w:eastAsia="Aptos" w:hAnsi="Aptos" w:cs="Aptos"/>
                <w:color w:val="7C7C81"/>
              </w:rPr>
            </w:pPr>
            <w:r>
              <w:rPr>
                <w:rFonts w:ascii="Aptos" w:eastAsia="Aptos" w:hAnsi="Aptos" w:cs="Aptos"/>
                <w:color w:val="7C7C81"/>
              </w:rPr>
              <w:t>[Date - recommend annual review]</w:t>
            </w:r>
          </w:p>
        </w:tc>
      </w:tr>
      <w:tr w:rsidR="00F268E0" w14:paraId="4CACE0FC"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74BE0A8" w14:textId="77777777" w:rsidR="00F268E0" w:rsidRPr="00D202F7" w:rsidRDefault="00F268E0" w:rsidP="003F5E4D">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4F66C7E" w14:textId="0278F343" w:rsidR="00F268E0" w:rsidRPr="00BB5C44" w:rsidRDefault="00F268E0" w:rsidP="003F5E4D">
            <w:pPr>
              <w:rPr>
                <w:rFonts w:ascii="Aptos" w:eastAsia="Aptos" w:hAnsi="Aptos" w:cs="Aptos"/>
                <w:color w:val="7C7C81"/>
              </w:rPr>
            </w:pPr>
            <w:r>
              <w:rPr>
                <w:rFonts w:ascii="Aptos" w:eastAsia="Aptos" w:hAnsi="Aptos" w:cs="Aptos"/>
                <w:color w:val="7C7C81"/>
              </w:rPr>
              <w:t>HR / Data Protection Officer (if appointed)</w:t>
            </w:r>
          </w:p>
        </w:tc>
      </w:tr>
      <w:tr w:rsidR="00F268E0" w14:paraId="05611C6F" w14:textId="77777777" w:rsidTr="003F5E4D">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F3FFAC4" w14:textId="77777777" w:rsidR="00F268E0" w:rsidRPr="00D202F7" w:rsidRDefault="00F268E0" w:rsidP="003F5E4D">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483F529" w14:textId="4ACC29CF" w:rsidR="00F268E0" w:rsidRPr="00BB5C44" w:rsidRDefault="00F268E0" w:rsidP="003F5E4D">
            <w:pPr>
              <w:rPr>
                <w:rFonts w:ascii="Aptos" w:eastAsia="Aptos" w:hAnsi="Aptos" w:cs="Aptos"/>
                <w:color w:val="7C7C81"/>
              </w:rPr>
            </w:pPr>
            <w:r>
              <w:rPr>
                <w:rFonts w:ascii="Aptos" w:eastAsia="Aptos" w:hAnsi="Aptos" w:cs="Aptos"/>
                <w:color w:val="7C7C81"/>
              </w:rPr>
              <w:t>All employees, workers and contractors who handle personal data</w:t>
            </w:r>
          </w:p>
        </w:tc>
      </w:tr>
    </w:tbl>
    <w:p w14:paraId="773907F1" w14:textId="77777777" w:rsidR="00F268E0" w:rsidRDefault="00F268E0" w:rsidP="001064C3">
      <w:pPr>
        <w:spacing w:after="160" w:line="264" w:lineRule="auto"/>
      </w:pPr>
    </w:p>
    <w:p w14:paraId="64AEAC21" w14:textId="77777777" w:rsidR="00D5605B" w:rsidRDefault="00810BD9">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We recommend taking HR and/or legal advice prior to implementation. This document does not constitute legal advice.</w:t>
      </w:r>
    </w:p>
    <w:p w14:paraId="64AEAC22" w14:textId="77777777" w:rsidR="00D5605B" w:rsidRDefault="00810BD9">
      <w:pPr>
        <w:keepNext/>
        <w:keepLines/>
        <w:spacing w:before="200" w:after="40"/>
      </w:pPr>
      <w:r>
        <w:rPr>
          <w:rFonts w:ascii="Aptos" w:eastAsia="Aptos" w:hAnsi="Aptos" w:cs="Aptos"/>
          <w:b/>
          <w:bCs/>
          <w:color w:val="F29D22"/>
          <w:spacing w:val="20"/>
        </w:rPr>
        <w:t>SECTION 01</w:t>
      </w:r>
    </w:p>
    <w:p w14:paraId="64AEAC23" w14:textId="77777777" w:rsidR="00D5605B" w:rsidRDefault="00810BD9">
      <w:pPr>
        <w:keepNext/>
        <w:keepLines/>
      </w:pPr>
      <w:r>
        <w:rPr>
          <w:rFonts w:ascii="Aptos" w:eastAsia="Aptos" w:hAnsi="Aptos" w:cs="Aptos"/>
          <w:b/>
          <w:bCs/>
          <w:color w:val="7C7C81"/>
          <w:sz w:val="24"/>
          <w:szCs w:val="24"/>
        </w:rPr>
        <w:t>Policy Statement</w:t>
      </w:r>
    </w:p>
    <w:p w14:paraId="64AEAC24" w14:textId="77777777" w:rsidR="00D5605B" w:rsidRDefault="00D5605B">
      <w:pPr>
        <w:keepNext/>
        <w:pBdr>
          <w:bottom w:val="single" w:sz="6" w:space="1" w:color="B9B8B9"/>
        </w:pBdr>
        <w:spacing w:after="120"/>
      </w:pPr>
    </w:p>
    <w:p w14:paraId="64AEAC25" w14:textId="77777777" w:rsidR="00D5605B" w:rsidRDefault="00810BD9">
      <w:pPr>
        <w:spacing w:after="160" w:line="264" w:lineRule="auto"/>
      </w:pPr>
      <w:r>
        <w:rPr>
          <w:rFonts w:ascii="Aptos" w:eastAsia="Aptos" w:hAnsi="Aptos" w:cs="Aptos"/>
          <w:color w:val="7C7C81"/>
        </w:rPr>
        <w:t xml:space="preserve">[Organisation Name] is committed to processing personal data in accordance with the UK General Data Protection Regulation (UK GDPR) and the Data Protection Act 2018 (DPA 2018). We collect, process and store personal data about our employees, clients, suppliers and other individuals </w:t>
      </w:r>
      <w:proofErr w:type="gramStart"/>
      <w:r>
        <w:rPr>
          <w:rFonts w:ascii="Aptos" w:eastAsia="Aptos" w:hAnsi="Aptos" w:cs="Aptos"/>
          <w:color w:val="7C7C81"/>
        </w:rPr>
        <w:t>in the course of</w:t>
      </w:r>
      <w:proofErr w:type="gramEnd"/>
      <w:r>
        <w:rPr>
          <w:rFonts w:ascii="Aptos" w:eastAsia="Aptos" w:hAnsi="Aptos" w:cs="Aptos"/>
          <w:color w:val="7C7C81"/>
        </w:rPr>
        <w:t xml:space="preserve"> our operations, and we have a legal, ethical and organisational responsibility to handle that data with care, security and respect.</w:t>
      </w:r>
    </w:p>
    <w:p w14:paraId="64AEAC26" w14:textId="77777777" w:rsidR="00D5605B" w:rsidRDefault="00810BD9">
      <w:pPr>
        <w:spacing w:after="160" w:line="264" w:lineRule="auto"/>
      </w:pPr>
      <w:r>
        <w:rPr>
          <w:rFonts w:ascii="Aptos" w:eastAsia="Aptos" w:hAnsi="Aptos" w:cs="Aptos"/>
          <w:color w:val="7C7C81"/>
        </w:rPr>
        <w:t>This policy sets out the responsibilities of all employees and workers in relation to personal data, and provides a framework for the lawful, secure and transparent handling of that data. Failure to comply with this policy may result in disciplinary action and may expose the organisation and individual employees to significant regulatory and legal risk.</w:t>
      </w:r>
    </w:p>
    <w:p w14:paraId="64AEAC27" w14:textId="77777777" w:rsidR="00D5605B" w:rsidRDefault="00810BD9">
      <w:pPr>
        <w:keepNext/>
        <w:keepLines/>
        <w:spacing w:before="200" w:after="40"/>
      </w:pPr>
      <w:r>
        <w:rPr>
          <w:rFonts w:ascii="Aptos" w:eastAsia="Aptos" w:hAnsi="Aptos" w:cs="Aptos"/>
          <w:b/>
          <w:bCs/>
          <w:color w:val="F29D22"/>
          <w:spacing w:val="20"/>
        </w:rPr>
        <w:t>SECTION 02</w:t>
      </w:r>
    </w:p>
    <w:p w14:paraId="64AEAC28" w14:textId="77777777" w:rsidR="00D5605B" w:rsidRDefault="00810BD9">
      <w:pPr>
        <w:keepNext/>
        <w:keepLines/>
      </w:pPr>
      <w:r>
        <w:rPr>
          <w:rFonts w:ascii="Aptos" w:eastAsia="Aptos" w:hAnsi="Aptos" w:cs="Aptos"/>
          <w:b/>
          <w:bCs/>
          <w:color w:val="7C7C81"/>
          <w:sz w:val="24"/>
          <w:szCs w:val="24"/>
        </w:rPr>
        <w:t>Scope</w:t>
      </w:r>
    </w:p>
    <w:p w14:paraId="64AEAC29" w14:textId="77777777" w:rsidR="00D5605B" w:rsidRDefault="00D5605B">
      <w:pPr>
        <w:keepNext/>
        <w:pBdr>
          <w:bottom w:val="single" w:sz="6" w:space="1" w:color="B9B8B9"/>
        </w:pBdr>
        <w:spacing w:after="120"/>
      </w:pPr>
    </w:p>
    <w:p w14:paraId="64AEAC2A" w14:textId="77777777" w:rsidR="00D5605B" w:rsidRDefault="00810BD9">
      <w:pPr>
        <w:spacing w:after="160" w:line="264" w:lineRule="auto"/>
      </w:pPr>
      <w:r>
        <w:rPr>
          <w:rFonts w:ascii="Aptos" w:eastAsia="Aptos" w:hAnsi="Aptos" w:cs="Aptos"/>
          <w:color w:val="7C7C81"/>
        </w:rPr>
        <w:t>This policy applies to all employees, workers, contractors and any person acting on behalf of [Organisation Name] who accesses, processes, stores or transfers personal data in connection with their work. It applies regardless of the device or system used, and regardless of whether data is held electronically or in paper form.</w:t>
      </w:r>
    </w:p>
    <w:p w14:paraId="5FCF9F9C" w14:textId="77777777" w:rsidR="00F268E0" w:rsidRDefault="00F268E0">
      <w:pPr>
        <w:rPr>
          <w:rFonts w:ascii="Aptos" w:eastAsia="Aptos" w:hAnsi="Aptos" w:cs="Aptos"/>
          <w:b/>
          <w:bCs/>
          <w:color w:val="F29D22"/>
          <w:spacing w:val="20"/>
        </w:rPr>
      </w:pPr>
      <w:r>
        <w:rPr>
          <w:rFonts w:ascii="Aptos" w:eastAsia="Aptos" w:hAnsi="Aptos" w:cs="Aptos"/>
          <w:b/>
          <w:bCs/>
          <w:color w:val="F29D22"/>
          <w:spacing w:val="20"/>
        </w:rPr>
        <w:br w:type="page"/>
      </w:r>
    </w:p>
    <w:p w14:paraId="64AEAC2B" w14:textId="51059FC8" w:rsidR="00D5605B" w:rsidRDefault="00810BD9">
      <w:pPr>
        <w:keepNext/>
        <w:keepLines/>
        <w:spacing w:before="200" w:after="40"/>
      </w:pPr>
      <w:r>
        <w:rPr>
          <w:rFonts w:ascii="Aptos" w:eastAsia="Aptos" w:hAnsi="Aptos" w:cs="Aptos"/>
          <w:b/>
          <w:bCs/>
          <w:color w:val="F29D22"/>
          <w:spacing w:val="20"/>
        </w:rPr>
        <w:lastRenderedPageBreak/>
        <w:t>SECTION 03</w:t>
      </w:r>
    </w:p>
    <w:p w14:paraId="64AEAC2C" w14:textId="77777777" w:rsidR="00D5605B" w:rsidRDefault="00810BD9">
      <w:pPr>
        <w:keepNext/>
        <w:keepLines/>
      </w:pPr>
      <w:r>
        <w:rPr>
          <w:rFonts w:ascii="Aptos" w:eastAsia="Aptos" w:hAnsi="Aptos" w:cs="Aptos"/>
          <w:b/>
          <w:bCs/>
          <w:color w:val="7C7C81"/>
          <w:sz w:val="24"/>
          <w:szCs w:val="24"/>
        </w:rPr>
        <w:t>Key Definitions</w:t>
      </w:r>
    </w:p>
    <w:p w14:paraId="64AEAC2D" w14:textId="77777777" w:rsidR="00D5605B" w:rsidRDefault="00D5605B">
      <w:pPr>
        <w:keepNext/>
        <w:pBdr>
          <w:bottom w:val="single" w:sz="6" w:space="1" w:color="B9B8B9"/>
        </w:pBdr>
        <w:spacing w:after="120"/>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263"/>
        <w:gridCol w:w="7365"/>
      </w:tblGrid>
      <w:tr w:rsidR="00D5605B" w:rsidRPr="00643BB7" w14:paraId="64AEAC30" w14:textId="77777777" w:rsidTr="00643BB7">
        <w:trPr>
          <w:cantSplit/>
          <w:tblHeader/>
        </w:trPr>
        <w:tc>
          <w:tcPr>
            <w:tcW w:w="1175" w:type="pct"/>
            <w:shd w:val="clear" w:color="auto" w:fill="F29D22"/>
            <w:tcMar>
              <w:top w:w="90" w:type="dxa"/>
              <w:left w:w="0" w:type="dxa"/>
              <w:bottom w:w="90" w:type="dxa"/>
              <w:right w:w="120" w:type="dxa"/>
            </w:tcMar>
          </w:tcPr>
          <w:p w14:paraId="64AEAC2E" w14:textId="77777777" w:rsidR="00D5605B" w:rsidRPr="00643BB7" w:rsidRDefault="00810BD9" w:rsidP="00643BB7">
            <w:pPr>
              <w:jc w:val="center"/>
              <w:rPr>
                <w:color w:val="FFFFFF" w:themeColor="background1"/>
              </w:rPr>
            </w:pPr>
            <w:r w:rsidRPr="00643BB7">
              <w:rPr>
                <w:rFonts w:ascii="Aptos" w:eastAsia="Aptos" w:hAnsi="Aptos" w:cs="Aptos"/>
                <w:b/>
                <w:bCs/>
                <w:color w:val="FFFFFF" w:themeColor="background1"/>
                <w:spacing w:val="6"/>
                <w:sz w:val="18"/>
                <w:szCs w:val="18"/>
              </w:rPr>
              <w:t>TERM</w:t>
            </w:r>
          </w:p>
        </w:tc>
        <w:tc>
          <w:tcPr>
            <w:tcW w:w="3825" w:type="pct"/>
            <w:shd w:val="clear" w:color="auto" w:fill="F29D22"/>
            <w:tcMar>
              <w:top w:w="90" w:type="dxa"/>
              <w:left w:w="120" w:type="dxa"/>
              <w:bottom w:w="90" w:type="dxa"/>
              <w:right w:w="120" w:type="dxa"/>
            </w:tcMar>
          </w:tcPr>
          <w:p w14:paraId="64AEAC2F" w14:textId="77777777" w:rsidR="00D5605B" w:rsidRPr="00643BB7" w:rsidRDefault="00810BD9" w:rsidP="00643BB7">
            <w:pPr>
              <w:jc w:val="center"/>
              <w:rPr>
                <w:color w:val="FFFFFF" w:themeColor="background1"/>
              </w:rPr>
            </w:pPr>
            <w:r w:rsidRPr="00643BB7">
              <w:rPr>
                <w:rFonts w:ascii="Aptos" w:eastAsia="Aptos" w:hAnsi="Aptos" w:cs="Aptos"/>
                <w:b/>
                <w:bCs/>
                <w:color w:val="FFFFFF" w:themeColor="background1"/>
                <w:spacing w:val="6"/>
                <w:sz w:val="18"/>
                <w:szCs w:val="18"/>
              </w:rPr>
              <w:t>DEFINITION</w:t>
            </w:r>
          </w:p>
        </w:tc>
      </w:tr>
      <w:tr w:rsidR="00D5605B" w14:paraId="64AEAC33" w14:textId="77777777" w:rsidTr="00643BB7">
        <w:trPr>
          <w:cantSplit/>
        </w:trPr>
        <w:tc>
          <w:tcPr>
            <w:tcW w:w="1175" w:type="pct"/>
            <w:tcMar>
              <w:top w:w="110" w:type="dxa"/>
              <w:left w:w="0" w:type="dxa"/>
              <w:bottom w:w="110" w:type="dxa"/>
              <w:right w:w="120" w:type="dxa"/>
            </w:tcMar>
          </w:tcPr>
          <w:p w14:paraId="64AEAC31" w14:textId="77777777" w:rsidR="00D5605B" w:rsidRDefault="00810BD9" w:rsidP="00643BB7">
            <w:pPr>
              <w:jc w:val="center"/>
            </w:pPr>
            <w:r>
              <w:rPr>
                <w:rFonts w:ascii="Aptos" w:eastAsia="Aptos" w:hAnsi="Aptos" w:cs="Aptos"/>
                <w:b/>
                <w:bCs/>
                <w:color w:val="7C7C81"/>
              </w:rPr>
              <w:t>Personal Data</w:t>
            </w:r>
          </w:p>
        </w:tc>
        <w:tc>
          <w:tcPr>
            <w:tcW w:w="3825" w:type="pct"/>
            <w:tcMar>
              <w:top w:w="110" w:type="dxa"/>
              <w:left w:w="120" w:type="dxa"/>
              <w:bottom w:w="110" w:type="dxa"/>
              <w:right w:w="120" w:type="dxa"/>
            </w:tcMar>
          </w:tcPr>
          <w:p w14:paraId="64AEAC32" w14:textId="0551EEF3" w:rsidR="00D5605B" w:rsidRDefault="00810BD9">
            <w:r>
              <w:rPr>
                <w:rFonts w:ascii="Aptos" w:eastAsia="Aptos" w:hAnsi="Aptos" w:cs="Aptos"/>
                <w:color w:val="7C7C81"/>
              </w:rPr>
              <w:t xml:space="preserve">Any information relating to an identified or identifiable living individual </w:t>
            </w:r>
            <w:r w:rsidR="00643BB7">
              <w:rPr>
                <w:rFonts w:ascii="Aptos" w:eastAsia="Aptos" w:hAnsi="Aptos" w:cs="Aptos"/>
                <w:color w:val="7C7C81"/>
              </w:rPr>
              <w:t>-</w:t>
            </w:r>
            <w:r>
              <w:rPr>
                <w:rFonts w:ascii="Aptos" w:eastAsia="Aptos" w:hAnsi="Aptos" w:cs="Aptos"/>
                <w:color w:val="7C7C81"/>
              </w:rPr>
              <w:t xml:space="preserve"> includes name, email, address, location data, IP address and any factor specific to an individual's identity.</w:t>
            </w:r>
          </w:p>
        </w:tc>
      </w:tr>
      <w:tr w:rsidR="00D5605B" w14:paraId="64AEAC36" w14:textId="77777777" w:rsidTr="00643BB7">
        <w:trPr>
          <w:cantSplit/>
        </w:trPr>
        <w:tc>
          <w:tcPr>
            <w:tcW w:w="1175" w:type="pct"/>
            <w:tcMar>
              <w:top w:w="110" w:type="dxa"/>
              <w:left w:w="0" w:type="dxa"/>
              <w:bottom w:w="110" w:type="dxa"/>
              <w:right w:w="120" w:type="dxa"/>
            </w:tcMar>
          </w:tcPr>
          <w:p w14:paraId="64AEAC34" w14:textId="77777777" w:rsidR="00D5605B" w:rsidRDefault="00810BD9" w:rsidP="00643BB7">
            <w:pPr>
              <w:jc w:val="center"/>
            </w:pPr>
            <w:r>
              <w:rPr>
                <w:rFonts w:ascii="Aptos" w:eastAsia="Aptos" w:hAnsi="Aptos" w:cs="Aptos"/>
                <w:b/>
                <w:bCs/>
                <w:color w:val="7C7C81"/>
              </w:rPr>
              <w:t>Special Category Data</w:t>
            </w:r>
          </w:p>
        </w:tc>
        <w:tc>
          <w:tcPr>
            <w:tcW w:w="3825" w:type="pct"/>
            <w:tcMar>
              <w:top w:w="110" w:type="dxa"/>
              <w:left w:w="120" w:type="dxa"/>
              <w:bottom w:w="110" w:type="dxa"/>
              <w:right w:w="120" w:type="dxa"/>
            </w:tcMar>
          </w:tcPr>
          <w:p w14:paraId="64AEAC35" w14:textId="77777777" w:rsidR="00D5605B" w:rsidRDefault="00810BD9">
            <w:r>
              <w:rPr>
                <w:rFonts w:ascii="Aptos" w:eastAsia="Aptos" w:hAnsi="Aptos" w:cs="Aptos"/>
                <w:color w:val="7C7C81"/>
              </w:rPr>
              <w:t>Sensitive personal data requiring higher protection: health/medical data, racial or ethnic origin, political opinions, religious beliefs, biometric data, sexual orientation, trade union membership, absence records, occupational health information or diversity monitoring data.</w:t>
            </w:r>
          </w:p>
        </w:tc>
      </w:tr>
      <w:tr w:rsidR="00D5605B" w14:paraId="64AEAC39" w14:textId="77777777" w:rsidTr="00643BB7">
        <w:trPr>
          <w:cantSplit/>
        </w:trPr>
        <w:tc>
          <w:tcPr>
            <w:tcW w:w="1175" w:type="pct"/>
            <w:tcMar>
              <w:top w:w="110" w:type="dxa"/>
              <w:left w:w="0" w:type="dxa"/>
              <w:bottom w:w="110" w:type="dxa"/>
              <w:right w:w="120" w:type="dxa"/>
            </w:tcMar>
          </w:tcPr>
          <w:p w14:paraId="64AEAC37" w14:textId="77777777" w:rsidR="00D5605B" w:rsidRDefault="00810BD9" w:rsidP="00643BB7">
            <w:pPr>
              <w:jc w:val="center"/>
            </w:pPr>
            <w:r>
              <w:rPr>
                <w:rFonts w:ascii="Aptos" w:eastAsia="Aptos" w:hAnsi="Aptos" w:cs="Aptos"/>
                <w:b/>
                <w:bCs/>
                <w:color w:val="7C7C81"/>
              </w:rPr>
              <w:t>Data Subject</w:t>
            </w:r>
          </w:p>
        </w:tc>
        <w:tc>
          <w:tcPr>
            <w:tcW w:w="3825" w:type="pct"/>
            <w:tcMar>
              <w:top w:w="110" w:type="dxa"/>
              <w:left w:w="120" w:type="dxa"/>
              <w:bottom w:w="110" w:type="dxa"/>
              <w:right w:w="120" w:type="dxa"/>
            </w:tcMar>
          </w:tcPr>
          <w:p w14:paraId="64AEAC38" w14:textId="77777777" w:rsidR="00D5605B" w:rsidRDefault="00810BD9">
            <w:r>
              <w:rPr>
                <w:rFonts w:ascii="Aptos" w:eastAsia="Aptos" w:hAnsi="Aptos" w:cs="Aptos"/>
                <w:color w:val="7C7C81"/>
              </w:rPr>
              <w:t>The individual to whom the personal data relates.</w:t>
            </w:r>
          </w:p>
        </w:tc>
      </w:tr>
      <w:tr w:rsidR="00D5605B" w14:paraId="64AEAC3C" w14:textId="77777777" w:rsidTr="00643BB7">
        <w:trPr>
          <w:cantSplit/>
        </w:trPr>
        <w:tc>
          <w:tcPr>
            <w:tcW w:w="1175" w:type="pct"/>
            <w:tcMar>
              <w:top w:w="110" w:type="dxa"/>
              <w:left w:w="0" w:type="dxa"/>
              <w:bottom w:w="110" w:type="dxa"/>
              <w:right w:w="120" w:type="dxa"/>
            </w:tcMar>
          </w:tcPr>
          <w:p w14:paraId="64AEAC3A" w14:textId="77777777" w:rsidR="00D5605B" w:rsidRDefault="00810BD9" w:rsidP="00643BB7">
            <w:pPr>
              <w:jc w:val="center"/>
            </w:pPr>
            <w:r>
              <w:rPr>
                <w:rFonts w:ascii="Aptos" w:eastAsia="Aptos" w:hAnsi="Aptos" w:cs="Aptos"/>
                <w:b/>
                <w:bCs/>
                <w:color w:val="7C7C81"/>
              </w:rPr>
              <w:t>Data Controller</w:t>
            </w:r>
          </w:p>
        </w:tc>
        <w:tc>
          <w:tcPr>
            <w:tcW w:w="3825" w:type="pct"/>
            <w:tcMar>
              <w:top w:w="110" w:type="dxa"/>
              <w:left w:w="120" w:type="dxa"/>
              <w:bottom w:w="110" w:type="dxa"/>
              <w:right w:w="120" w:type="dxa"/>
            </w:tcMar>
          </w:tcPr>
          <w:p w14:paraId="64AEAC3B" w14:textId="77777777" w:rsidR="00D5605B" w:rsidRDefault="00810BD9">
            <w:r>
              <w:rPr>
                <w:rFonts w:ascii="Aptos" w:eastAsia="Aptos" w:hAnsi="Aptos" w:cs="Aptos"/>
                <w:color w:val="7C7C81"/>
              </w:rPr>
              <w:t>The organisation that determines the purpose and means of processing personal data.</w:t>
            </w:r>
          </w:p>
        </w:tc>
      </w:tr>
      <w:tr w:rsidR="00D5605B" w14:paraId="64AEAC3F" w14:textId="77777777" w:rsidTr="00643BB7">
        <w:trPr>
          <w:cantSplit/>
        </w:trPr>
        <w:tc>
          <w:tcPr>
            <w:tcW w:w="1175" w:type="pct"/>
            <w:tcMar>
              <w:top w:w="110" w:type="dxa"/>
              <w:left w:w="0" w:type="dxa"/>
              <w:bottom w:w="110" w:type="dxa"/>
              <w:right w:w="120" w:type="dxa"/>
            </w:tcMar>
          </w:tcPr>
          <w:p w14:paraId="64AEAC3D" w14:textId="77777777" w:rsidR="00D5605B" w:rsidRDefault="00810BD9" w:rsidP="00643BB7">
            <w:pPr>
              <w:jc w:val="center"/>
            </w:pPr>
            <w:r>
              <w:rPr>
                <w:rFonts w:ascii="Aptos" w:eastAsia="Aptos" w:hAnsi="Aptos" w:cs="Aptos"/>
                <w:b/>
                <w:bCs/>
                <w:color w:val="7C7C81"/>
              </w:rPr>
              <w:t>Data Processor</w:t>
            </w:r>
          </w:p>
        </w:tc>
        <w:tc>
          <w:tcPr>
            <w:tcW w:w="3825" w:type="pct"/>
            <w:tcMar>
              <w:top w:w="110" w:type="dxa"/>
              <w:left w:w="120" w:type="dxa"/>
              <w:bottom w:w="110" w:type="dxa"/>
              <w:right w:w="120" w:type="dxa"/>
            </w:tcMar>
          </w:tcPr>
          <w:p w14:paraId="64AEAC3E" w14:textId="77777777" w:rsidR="00D5605B" w:rsidRDefault="00810BD9">
            <w:r>
              <w:rPr>
                <w:rFonts w:ascii="Aptos" w:eastAsia="Aptos" w:hAnsi="Aptos" w:cs="Aptos"/>
                <w:color w:val="7C7C81"/>
              </w:rPr>
              <w:t>Any person or organisation that processes personal data on behalf of the data controller.</w:t>
            </w:r>
          </w:p>
        </w:tc>
      </w:tr>
      <w:tr w:rsidR="00D5605B" w14:paraId="64AEAC42" w14:textId="77777777" w:rsidTr="00643BB7">
        <w:trPr>
          <w:cantSplit/>
        </w:trPr>
        <w:tc>
          <w:tcPr>
            <w:tcW w:w="1175" w:type="pct"/>
            <w:tcMar>
              <w:top w:w="110" w:type="dxa"/>
              <w:left w:w="0" w:type="dxa"/>
              <w:bottom w:w="110" w:type="dxa"/>
              <w:right w:w="120" w:type="dxa"/>
            </w:tcMar>
          </w:tcPr>
          <w:p w14:paraId="64AEAC40" w14:textId="77777777" w:rsidR="00D5605B" w:rsidRDefault="00810BD9" w:rsidP="00643BB7">
            <w:pPr>
              <w:jc w:val="center"/>
            </w:pPr>
            <w:r>
              <w:rPr>
                <w:rFonts w:ascii="Aptos" w:eastAsia="Aptos" w:hAnsi="Aptos" w:cs="Aptos"/>
                <w:b/>
                <w:bCs/>
                <w:color w:val="7C7C81"/>
              </w:rPr>
              <w:t>Processing</w:t>
            </w:r>
          </w:p>
        </w:tc>
        <w:tc>
          <w:tcPr>
            <w:tcW w:w="3825" w:type="pct"/>
            <w:tcMar>
              <w:top w:w="110" w:type="dxa"/>
              <w:left w:w="120" w:type="dxa"/>
              <w:bottom w:w="110" w:type="dxa"/>
              <w:right w:w="120" w:type="dxa"/>
            </w:tcMar>
          </w:tcPr>
          <w:p w14:paraId="64AEAC41" w14:textId="0159504D" w:rsidR="00D5605B" w:rsidRDefault="00810BD9">
            <w:r>
              <w:rPr>
                <w:rFonts w:ascii="Aptos" w:eastAsia="Aptos" w:hAnsi="Aptos" w:cs="Aptos"/>
                <w:color w:val="7C7C81"/>
              </w:rPr>
              <w:t xml:space="preserve">Any operation performed on personal data </w:t>
            </w:r>
            <w:r w:rsidR="00643BB7">
              <w:rPr>
                <w:rFonts w:ascii="Aptos" w:eastAsia="Aptos" w:hAnsi="Aptos" w:cs="Aptos"/>
                <w:color w:val="7C7C81"/>
              </w:rPr>
              <w:t>-</w:t>
            </w:r>
            <w:r>
              <w:rPr>
                <w:rFonts w:ascii="Aptos" w:eastAsia="Aptos" w:hAnsi="Aptos" w:cs="Aptos"/>
                <w:color w:val="7C7C81"/>
              </w:rPr>
              <w:t xml:space="preserve"> including collection, recording, storage, use, disclosure, erasure or destruction.</w:t>
            </w:r>
          </w:p>
        </w:tc>
      </w:tr>
      <w:tr w:rsidR="00D5605B" w14:paraId="64AEAC45" w14:textId="77777777" w:rsidTr="00643BB7">
        <w:trPr>
          <w:cantSplit/>
        </w:trPr>
        <w:tc>
          <w:tcPr>
            <w:tcW w:w="1175" w:type="pct"/>
            <w:tcMar>
              <w:top w:w="110" w:type="dxa"/>
              <w:left w:w="0" w:type="dxa"/>
              <w:bottom w:w="110" w:type="dxa"/>
              <w:right w:w="120" w:type="dxa"/>
            </w:tcMar>
          </w:tcPr>
          <w:p w14:paraId="64AEAC43" w14:textId="77777777" w:rsidR="00D5605B" w:rsidRDefault="00810BD9" w:rsidP="00643BB7">
            <w:pPr>
              <w:jc w:val="center"/>
            </w:pPr>
            <w:r>
              <w:rPr>
                <w:rFonts w:ascii="Aptos" w:eastAsia="Aptos" w:hAnsi="Aptos" w:cs="Aptos"/>
                <w:b/>
                <w:bCs/>
                <w:color w:val="7C7C81"/>
              </w:rPr>
              <w:t>UK GDPR</w:t>
            </w:r>
          </w:p>
        </w:tc>
        <w:tc>
          <w:tcPr>
            <w:tcW w:w="3825" w:type="pct"/>
            <w:tcMar>
              <w:top w:w="110" w:type="dxa"/>
              <w:left w:w="120" w:type="dxa"/>
              <w:bottom w:w="110" w:type="dxa"/>
              <w:right w:w="120" w:type="dxa"/>
            </w:tcMar>
          </w:tcPr>
          <w:p w14:paraId="64AEAC44" w14:textId="77777777" w:rsidR="00D5605B" w:rsidRDefault="00810BD9">
            <w:r>
              <w:rPr>
                <w:rFonts w:ascii="Aptos" w:eastAsia="Aptos" w:hAnsi="Aptos" w:cs="Aptos"/>
                <w:color w:val="7C7C81"/>
              </w:rPr>
              <w:t>The retained version of the EU GDPR, as it applies in the UK following Brexit, alongside the Data Protection Act 2018.</w:t>
            </w:r>
          </w:p>
        </w:tc>
      </w:tr>
    </w:tbl>
    <w:p w14:paraId="64AEAC46" w14:textId="77777777" w:rsidR="00D5605B" w:rsidRDefault="00810BD9">
      <w:pPr>
        <w:keepNext/>
        <w:keepLines/>
        <w:spacing w:before="200" w:after="40"/>
      </w:pPr>
      <w:r>
        <w:rPr>
          <w:rFonts w:ascii="Aptos" w:eastAsia="Aptos" w:hAnsi="Aptos" w:cs="Aptos"/>
          <w:b/>
          <w:bCs/>
          <w:color w:val="F29D22"/>
          <w:spacing w:val="20"/>
        </w:rPr>
        <w:t>SECTION 04</w:t>
      </w:r>
    </w:p>
    <w:p w14:paraId="64AEAC47" w14:textId="77777777" w:rsidR="00D5605B" w:rsidRDefault="00810BD9">
      <w:pPr>
        <w:keepNext/>
        <w:keepLines/>
      </w:pPr>
      <w:r>
        <w:rPr>
          <w:rFonts w:ascii="Aptos" w:eastAsia="Aptos" w:hAnsi="Aptos" w:cs="Aptos"/>
          <w:b/>
          <w:bCs/>
          <w:color w:val="7C7C81"/>
          <w:sz w:val="24"/>
          <w:szCs w:val="24"/>
        </w:rPr>
        <w:t>The Six Principles of Data Protection</w:t>
      </w:r>
    </w:p>
    <w:p w14:paraId="64AEAC48" w14:textId="77777777" w:rsidR="00D5605B" w:rsidRDefault="00D5605B">
      <w:pPr>
        <w:keepNext/>
        <w:pBdr>
          <w:bottom w:val="single" w:sz="6" w:space="1" w:color="B9B8B9"/>
        </w:pBdr>
        <w:spacing w:after="120"/>
      </w:pPr>
    </w:p>
    <w:p w14:paraId="64AEAC49" w14:textId="77777777" w:rsidR="00D5605B" w:rsidRDefault="00810BD9">
      <w:pPr>
        <w:spacing w:after="160" w:line="264" w:lineRule="auto"/>
      </w:pPr>
      <w:r>
        <w:rPr>
          <w:rFonts w:ascii="Aptos" w:eastAsia="Aptos" w:hAnsi="Aptos" w:cs="Aptos"/>
          <w:color w:val="7C7C81"/>
        </w:rPr>
        <w:t>Under UK GDPR, personal data must be processed in accordance with the six core principles of data protection together with the accountability principle. All employees handling personal data must ensure their processing complies with each of these principles:</w:t>
      </w:r>
    </w:p>
    <w:p w14:paraId="36759432" w14:textId="77777777" w:rsidR="001064C3" w:rsidRDefault="001064C3">
      <w:r>
        <w:br w:type="page"/>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124"/>
        <w:gridCol w:w="7504"/>
      </w:tblGrid>
      <w:tr w:rsidR="00D5605B" w:rsidRPr="00643BB7" w14:paraId="64AEAC4C" w14:textId="77777777" w:rsidTr="00643BB7">
        <w:trPr>
          <w:cantSplit/>
          <w:tblHeader/>
        </w:trPr>
        <w:tc>
          <w:tcPr>
            <w:tcW w:w="1103" w:type="pct"/>
            <w:shd w:val="clear" w:color="auto" w:fill="F29D22"/>
            <w:tcMar>
              <w:top w:w="90" w:type="dxa"/>
              <w:left w:w="0" w:type="dxa"/>
              <w:bottom w:w="90" w:type="dxa"/>
              <w:right w:w="120" w:type="dxa"/>
            </w:tcMar>
          </w:tcPr>
          <w:p w14:paraId="64AEAC4A" w14:textId="7D1287D3" w:rsidR="00D5605B" w:rsidRPr="00643BB7" w:rsidRDefault="00F268E0" w:rsidP="00643BB7">
            <w:pPr>
              <w:jc w:val="center"/>
              <w:rPr>
                <w:color w:val="FFFFFF" w:themeColor="background1"/>
              </w:rPr>
            </w:pPr>
            <w:r w:rsidRPr="00643BB7">
              <w:rPr>
                <w:rFonts w:ascii="Aptos" w:eastAsia="Aptos" w:hAnsi="Aptos" w:cs="Aptos"/>
                <w:b/>
                <w:bCs/>
                <w:color w:val="FFFFFF" w:themeColor="background1"/>
                <w:spacing w:val="6"/>
                <w:sz w:val="18"/>
                <w:szCs w:val="18"/>
              </w:rPr>
              <w:lastRenderedPageBreak/>
              <w:t>P</w:t>
            </w:r>
            <w:r w:rsidR="00810BD9" w:rsidRPr="00643BB7">
              <w:rPr>
                <w:rFonts w:ascii="Aptos" w:eastAsia="Aptos" w:hAnsi="Aptos" w:cs="Aptos"/>
                <w:b/>
                <w:bCs/>
                <w:color w:val="FFFFFF" w:themeColor="background1"/>
                <w:spacing w:val="6"/>
                <w:sz w:val="18"/>
                <w:szCs w:val="18"/>
              </w:rPr>
              <w:t>RINCIPLE</w:t>
            </w:r>
          </w:p>
        </w:tc>
        <w:tc>
          <w:tcPr>
            <w:tcW w:w="3897" w:type="pct"/>
            <w:shd w:val="clear" w:color="auto" w:fill="F29D22"/>
            <w:tcMar>
              <w:top w:w="90" w:type="dxa"/>
              <w:left w:w="120" w:type="dxa"/>
              <w:bottom w:w="90" w:type="dxa"/>
              <w:right w:w="120" w:type="dxa"/>
            </w:tcMar>
          </w:tcPr>
          <w:p w14:paraId="64AEAC4B" w14:textId="77777777" w:rsidR="00D5605B" w:rsidRPr="00643BB7" w:rsidRDefault="00810BD9" w:rsidP="00643BB7">
            <w:pPr>
              <w:jc w:val="center"/>
              <w:rPr>
                <w:color w:val="FFFFFF" w:themeColor="background1"/>
              </w:rPr>
            </w:pPr>
            <w:r w:rsidRPr="00643BB7">
              <w:rPr>
                <w:rFonts w:ascii="Aptos" w:eastAsia="Aptos" w:hAnsi="Aptos" w:cs="Aptos"/>
                <w:b/>
                <w:bCs/>
                <w:color w:val="FFFFFF" w:themeColor="background1"/>
                <w:spacing w:val="6"/>
                <w:sz w:val="18"/>
                <w:szCs w:val="18"/>
              </w:rPr>
              <w:t>WHAT THIS MEANS IN PRACTICE</w:t>
            </w:r>
          </w:p>
        </w:tc>
      </w:tr>
      <w:tr w:rsidR="00D5605B" w14:paraId="64AEAC4F" w14:textId="77777777" w:rsidTr="00643BB7">
        <w:trPr>
          <w:cantSplit/>
        </w:trPr>
        <w:tc>
          <w:tcPr>
            <w:tcW w:w="1103" w:type="pct"/>
            <w:tcMar>
              <w:top w:w="110" w:type="dxa"/>
              <w:left w:w="0" w:type="dxa"/>
              <w:bottom w:w="110" w:type="dxa"/>
              <w:right w:w="120" w:type="dxa"/>
            </w:tcMar>
          </w:tcPr>
          <w:p w14:paraId="64AEAC4D" w14:textId="77777777" w:rsidR="00D5605B" w:rsidRDefault="00810BD9" w:rsidP="00643BB7">
            <w:pPr>
              <w:jc w:val="center"/>
            </w:pPr>
            <w:r>
              <w:rPr>
                <w:rFonts w:ascii="Aptos" w:eastAsia="Aptos" w:hAnsi="Aptos" w:cs="Aptos"/>
                <w:b/>
                <w:bCs/>
                <w:color w:val="7C7C81"/>
              </w:rPr>
              <w:t>Lawfulness, Fairness and Transparency</w:t>
            </w:r>
          </w:p>
        </w:tc>
        <w:tc>
          <w:tcPr>
            <w:tcW w:w="3897" w:type="pct"/>
            <w:tcMar>
              <w:top w:w="110" w:type="dxa"/>
              <w:left w:w="120" w:type="dxa"/>
              <w:bottom w:w="110" w:type="dxa"/>
              <w:right w:w="120" w:type="dxa"/>
            </w:tcMar>
          </w:tcPr>
          <w:p w14:paraId="64AEAC4E" w14:textId="77777777" w:rsidR="00D5605B" w:rsidRDefault="00810BD9">
            <w:r>
              <w:rPr>
                <w:rFonts w:ascii="Aptos" w:eastAsia="Aptos" w:hAnsi="Aptos" w:cs="Aptos"/>
                <w:color w:val="7C7C81"/>
              </w:rPr>
              <w:t>Personal data must be processed lawfully, fairly and transparently. Individuals must be informed about how their data is used.</w:t>
            </w:r>
          </w:p>
        </w:tc>
      </w:tr>
      <w:tr w:rsidR="00D5605B" w14:paraId="64AEAC52" w14:textId="77777777" w:rsidTr="00643BB7">
        <w:trPr>
          <w:cantSplit/>
        </w:trPr>
        <w:tc>
          <w:tcPr>
            <w:tcW w:w="1103" w:type="pct"/>
            <w:tcMar>
              <w:top w:w="110" w:type="dxa"/>
              <w:left w:w="0" w:type="dxa"/>
              <w:bottom w:w="110" w:type="dxa"/>
              <w:right w:w="120" w:type="dxa"/>
            </w:tcMar>
          </w:tcPr>
          <w:p w14:paraId="64AEAC50" w14:textId="77777777" w:rsidR="00D5605B" w:rsidRDefault="00810BD9" w:rsidP="00643BB7">
            <w:pPr>
              <w:jc w:val="center"/>
            </w:pPr>
            <w:r>
              <w:rPr>
                <w:rFonts w:ascii="Aptos" w:eastAsia="Aptos" w:hAnsi="Aptos" w:cs="Aptos"/>
                <w:b/>
                <w:bCs/>
                <w:color w:val="7C7C81"/>
              </w:rPr>
              <w:t>Purpose Limitation</w:t>
            </w:r>
          </w:p>
        </w:tc>
        <w:tc>
          <w:tcPr>
            <w:tcW w:w="3897" w:type="pct"/>
            <w:tcMar>
              <w:top w:w="110" w:type="dxa"/>
              <w:left w:w="120" w:type="dxa"/>
              <w:bottom w:w="110" w:type="dxa"/>
              <w:right w:w="120" w:type="dxa"/>
            </w:tcMar>
          </w:tcPr>
          <w:p w14:paraId="64AEAC51" w14:textId="77777777" w:rsidR="00D5605B" w:rsidRDefault="00810BD9">
            <w:r>
              <w:rPr>
                <w:rFonts w:ascii="Aptos" w:eastAsia="Aptos" w:hAnsi="Aptos" w:cs="Aptos"/>
                <w:color w:val="7C7C81"/>
              </w:rPr>
              <w:t>Personal data must be collected for specified, explicit and legitimate purposes and not processed in a manner incompatible with those purposes.</w:t>
            </w:r>
          </w:p>
        </w:tc>
      </w:tr>
      <w:tr w:rsidR="00D5605B" w14:paraId="64AEAC55" w14:textId="77777777" w:rsidTr="00643BB7">
        <w:trPr>
          <w:cantSplit/>
        </w:trPr>
        <w:tc>
          <w:tcPr>
            <w:tcW w:w="1103" w:type="pct"/>
            <w:tcMar>
              <w:top w:w="110" w:type="dxa"/>
              <w:left w:w="0" w:type="dxa"/>
              <w:bottom w:w="110" w:type="dxa"/>
              <w:right w:w="120" w:type="dxa"/>
            </w:tcMar>
          </w:tcPr>
          <w:p w14:paraId="64AEAC53" w14:textId="77777777" w:rsidR="00D5605B" w:rsidRDefault="00810BD9" w:rsidP="00643BB7">
            <w:pPr>
              <w:jc w:val="center"/>
            </w:pPr>
            <w:r>
              <w:rPr>
                <w:rFonts w:ascii="Aptos" w:eastAsia="Aptos" w:hAnsi="Aptos" w:cs="Aptos"/>
                <w:b/>
                <w:bCs/>
                <w:color w:val="7C7C81"/>
              </w:rPr>
              <w:t>Data Minimisation</w:t>
            </w:r>
          </w:p>
        </w:tc>
        <w:tc>
          <w:tcPr>
            <w:tcW w:w="3897" w:type="pct"/>
            <w:tcMar>
              <w:top w:w="110" w:type="dxa"/>
              <w:left w:w="120" w:type="dxa"/>
              <w:bottom w:w="110" w:type="dxa"/>
              <w:right w:w="120" w:type="dxa"/>
            </w:tcMar>
          </w:tcPr>
          <w:p w14:paraId="64AEAC54" w14:textId="77777777" w:rsidR="00D5605B" w:rsidRDefault="00810BD9">
            <w:r>
              <w:rPr>
                <w:rFonts w:ascii="Aptos" w:eastAsia="Aptos" w:hAnsi="Aptos" w:cs="Aptos"/>
                <w:color w:val="7C7C81"/>
              </w:rPr>
              <w:t>Personal data collected must be adequate, relevant and limited to what is necessary for the purpose for which it is processed.</w:t>
            </w:r>
          </w:p>
        </w:tc>
      </w:tr>
      <w:tr w:rsidR="00D5605B" w14:paraId="64AEAC58" w14:textId="77777777" w:rsidTr="00643BB7">
        <w:trPr>
          <w:cantSplit/>
        </w:trPr>
        <w:tc>
          <w:tcPr>
            <w:tcW w:w="1103" w:type="pct"/>
            <w:tcMar>
              <w:top w:w="110" w:type="dxa"/>
              <w:left w:w="0" w:type="dxa"/>
              <w:bottom w:w="110" w:type="dxa"/>
              <w:right w:w="120" w:type="dxa"/>
            </w:tcMar>
          </w:tcPr>
          <w:p w14:paraId="64AEAC56" w14:textId="77777777" w:rsidR="00D5605B" w:rsidRDefault="00810BD9" w:rsidP="00643BB7">
            <w:pPr>
              <w:jc w:val="center"/>
            </w:pPr>
            <w:r>
              <w:rPr>
                <w:rFonts w:ascii="Aptos" w:eastAsia="Aptos" w:hAnsi="Aptos" w:cs="Aptos"/>
                <w:b/>
                <w:bCs/>
                <w:color w:val="7C7C81"/>
              </w:rPr>
              <w:t>Accuracy</w:t>
            </w:r>
          </w:p>
        </w:tc>
        <w:tc>
          <w:tcPr>
            <w:tcW w:w="3897" w:type="pct"/>
            <w:tcMar>
              <w:top w:w="110" w:type="dxa"/>
              <w:left w:w="120" w:type="dxa"/>
              <w:bottom w:w="110" w:type="dxa"/>
              <w:right w:w="120" w:type="dxa"/>
            </w:tcMar>
          </w:tcPr>
          <w:p w14:paraId="64AEAC57" w14:textId="77777777" w:rsidR="00D5605B" w:rsidRDefault="00810BD9">
            <w:r>
              <w:rPr>
                <w:rFonts w:ascii="Aptos" w:eastAsia="Aptos" w:hAnsi="Aptos" w:cs="Aptos"/>
                <w:color w:val="7C7C81"/>
              </w:rPr>
              <w:t>Personal data must be accurate and, where necessary, kept up to date. Inaccurate data must be corrected or deleted without delay.</w:t>
            </w:r>
          </w:p>
        </w:tc>
      </w:tr>
      <w:tr w:rsidR="00D5605B" w14:paraId="64AEAC5B" w14:textId="77777777" w:rsidTr="00643BB7">
        <w:trPr>
          <w:cantSplit/>
        </w:trPr>
        <w:tc>
          <w:tcPr>
            <w:tcW w:w="1103" w:type="pct"/>
            <w:tcMar>
              <w:top w:w="110" w:type="dxa"/>
              <w:left w:w="0" w:type="dxa"/>
              <w:bottom w:w="110" w:type="dxa"/>
              <w:right w:w="120" w:type="dxa"/>
            </w:tcMar>
          </w:tcPr>
          <w:p w14:paraId="64AEAC59" w14:textId="77777777" w:rsidR="00D5605B" w:rsidRDefault="00810BD9" w:rsidP="00643BB7">
            <w:pPr>
              <w:jc w:val="center"/>
            </w:pPr>
            <w:r>
              <w:rPr>
                <w:rFonts w:ascii="Aptos" w:eastAsia="Aptos" w:hAnsi="Aptos" w:cs="Aptos"/>
                <w:b/>
                <w:bCs/>
                <w:color w:val="7C7C81"/>
              </w:rPr>
              <w:t>Storage Limitation</w:t>
            </w:r>
          </w:p>
        </w:tc>
        <w:tc>
          <w:tcPr>
            <w:tcW w:w="3897" w:type="pct"/>
            <w:tcMar>
              <w:top w:w="110" w:type="dxa"/>
              <w:left w:w="120" w:type="dxa"/>
              <w:bottom w:w="110" w:type="dxa"/>
              <w:right w:w="120" w:type="dxa"/>
            </w:tcMar>
          </w:tcPr>
          <w:p w14:paraId="64AEAC5A" w14:textId="77777777" w:rsidR="00D5605B" w:rsidRDefault="00810BD9">
            <w:r>
              <w:rPr>
                <w:rFonts w:ascii="Aptos" w:eastAsia="Aptos" w:hAnsi="Aptos" w:cs="Aptos"/>
                <w:color w:val="7C7C81"/>
              </w:rPr>
              <w:t>Personal data must not be kept for longer than is necessary for the purpose for which it was collected. Refer to the organisation's retention schedule.</w:t>
            </w:r>
          </w:p>
        </w:tc>
      </w:tr>
      <w:tr w:rsidR="00D5605B" w14:paraId="64AEAC5E" w14:textId="77777777" w:rsidTr="00643BB7">
        <w:trPr>
          <w:cantSplit/>
        </w:trPr>
        <w:tc>
          <w:tcPr>
            <w:tcW w:w="1103" w:type="pct"/>
            <w:tcMar>
              <w:top w:w="110" w:type="dxa"/>
              <w:left w:w="0" w:type="dxa"/>
              <w:bottom w:w="110" w:type="dxa"/>
              <w:right w:w="120" w:type="dxa"/>
            </w:tcMar>
          </w:tcPr>
          <w:p w14:paraId="64AEAC5C" w14:textId="77777777" w:rsidR="00D5605B" w:rsidRDefault="00810BD9" w:rsidP="00643BB7">
            <w:pPr>
              <w:jc w:val="center"/>
            </w:pPr>
            <w:r>
              <w:rPr>
                <w:rFonts w:ascii="Aptos" w:eastAsia="Aptos" w:hAnsi="Aptos" w:cs="Aptos"/>
                <w:b/>
                <w:bCs/>
                <w:color w:val="7C7C81"/>
              </w:rPr>
              <w:t>Integrity and Confidentiality</w:t>
            </w:r>
          </w:p>
        </w:tc>
        <w:tc>
          <w:tcPr>
            <w:tcW w:w="3897" w:type="pct"/>
            <w:tcMar>
              <w:top w:w="110" w:type="dxa"/>
              <w:left w:w="120" w:type="dxa"/>
              <w:bottom w:w="110" w:type="dxa"/>
              <w:right w:w="120" w:type="dxa"/>
            </w:tcMar>
          </w:tcPr>
          <w:p w14:paraId="64AEAC5D" w14:textId="77777777" w:rsidR="00D5605B" w:rsidRDefault="00810BD9">
            <w:r>
              <w:rPr>
                <w:rFonts w:ascii="Aptos" w:eastAsia="Aptos" w:hAnsi="Aptos" w:cs="Aptos"/>
                <w:color w:val="7C7C81"/>
              </w:rPr>
              <w:t>Personal data must be processed in a manner that ensures appropriate security, including protection against unauthorised access, loss or destruction.</w:t>
            </w:r>
          </w:p>
        </w:tc>
      </w:tr>
      <w:tr w:rsidR="00D5605B" w14:paraId="64AEAC61" w14:textId="77777777" w:rsidTr="00643BB7">
        <w:trPr>
          <w:cantSplit/>
        </w:trPr>
        <w:tc>
          <w:tcPr>
            <w:tcW w:w="1103" w:type="pct"/>
            <w:tcMar>
              <w:top w:w="110" w:type="dxa"/>
              <w:left w:w="0" w:type="dxa"/>
              <w:bottom w:w="110" w:type="dxa"/>
              <w:right w:w="120" w:type="dxa"/>
            </w:tcMar>
          </w:tcPr>
          <w:p w14:paraId="64AEAC5F" w14:textId="77777777" w:rsidR="00D5605B" w:rsidRDefault="00810BD9" w:rsidP="00643BB7">
            <w:pPr>
              <w:jc w:val="center"/>
            </w:pPr>
            <w:r>
              <w:rPr>
                <w:rFonts w:ascii="Aptos" w:eastAsia="Aptos" w:hAnsi="Aptos" w:cs="Aptos"/>
                <w:b/>
                <w:bCs/>
                <w:color w:val="7C7C81"/>
              </w:rPr>
              <w:t>Accountability</w:t>
            </w:r>
          </w:p>
        </w:tc>
        <w:tc>
          <w:tcPr>
            <w:tcW w:w="3897" w:type="pct"/>
            <w:tcMar>
              <w:top w:w="110" w:type="dxa"/>
              <w:left w:w="120" w:type="dxa"/>
              <w:bottom w:w="110" w:type="dxa"/>
              <w:right w:w="120" w:type="dxa"/>
            </w:tcMar>
          </w:tcPr>
          <w:p w14:paraId="64AEAC60" w14:textId="77777777" w:rsidR="00D5605B" w:rsidRDefault="00810BD9">
            <w:r>
              <w:rPr>
                <w:rFonts w:ascii="Aptos" w:eastAsia="Aptos" w:hAnsi="Aptos" w:cs="Aptos"/>
                <w:color w:val="7C7C81"/>
              </w:rPr>
              <w:t>The organisation is responsible for compliance with these principles and must be able to demonstrate that compliance.</w:t>
            </w:r>
          </w:p>
        </w:tc>
      </w:tr>
    </w:tbl>
    <w:p w14:paraId="64AEAC62" w14:textId="344D0CAA" w:rsidR="00D5605B" w:rsidRDefault="001064C3">
      <w:pPr>
        <w:spacing w:after="160" w:line="264" w:lineRule="auto"/>
      </w:pPr>
      <w:r>
        <w:rPr>
          <w:rFonts w:ascii="Aptos" w:eastAsia="Aptos" w:hAnsi="Aptos" w:cs="Aptos"/>
          <w:color w:val="7C7C81"/>
        </w:rPr>
        <w:br/>
        <w:t>Privacy and data protection considerations should be built into new systems, processes and projects from the outset wherever possible.</w:t>
      </w:r>
    </w:p>
    <w:p w14:paraId="64AEAC63" w14:textId="77777777" w:rsidR="00D5605B" w:rsidRDefault="00810BD9">
      <w:pPr>
        <w:keepNext/>
        <w:keepLines/>
        <w:spacing w:before="200" w:after="40"/>
      </w:pPr>
      <w:r>
        <w:rPr>
          <w:rFonts w:ascii="Aptos" w:eastAsia="Aptos" w:hAnsi="Aptos" w:cs="Aptos"/>
          <w:b/>
          <w:bCs/>
          <w:color w:val="F29D22"/>
          <w:spacing w:val="20"/>
        </w:rPr>
        <w:t>SECTION 05</w:t>
      </w:r>
    </w:p>
    <w:p w14:paraId="64AEAC64" w14:textId="77777777" w:rsidR="00D5605B" w:rsidRDefault="00810BD9">
      <w:pPr>
        <w:keepNext/>
        <w:keepLines/>
      </w:pPr>
      <w:r>
        <w:rPr>
          <w:rFonts w:ascii="Aptos" w:eastAsia="Aptos" w:hAnsi="Aptos" w:cs="Aptos"/>
          <w:b/>
          <w:bCs/>
          <w:color w:val="7C7C81"/>
          <w:sz w:val="24"/>
          <w:szCs w:val="24"/>
        </w:rPr>
        <w:t>Employee Responsibilities</w:t>
      </w:r>
    </w:p>
    <w:p w14:paraId="64AEAC65" w14:textId="77777777" w:rsidR="00D5605B" w:rsidRDefault="00D5605B">
      <w:pPr>
        <w:keepNext/>
        <w:pBdr>
          <w:bottom w:val="single" w:sz="6" w:space="1" w:color="B9B8B9"/>
        </w:pBdr>
        <w:spacing w:after="120"/>
      </w:pPr>
    </w:p>
    <w:p w14:paraId="64AEAC66" w14:textId="77777777" w:rsidR="00D5605B" w:rsidRDefault="00810BD9">
      <w:pPr>
        <w:spacing w:after="160" w:line="264" w:lineRule="auto"/>
      </w:pPr>
      <w:r>
        <w:rPr>
          <w:rFonts w:ascii="Aptos" w:eastAsia="Aptos" w:hAnsi="Aptos" w:cs="Aptos"/>
          <w:color w:val="7C7C81"/>
        </w:rPr>
        <w:t>All employees who handle personal data must:</w:t>
      </w:r>
    </w:p>
    <w:p w14:paraId="64AEAC67" w14:textId="0F7F6EB4"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Process personal data only for the legitimate purposes of their role and in accordance with the organisation's instructions</w:t>
      </w:r>
    </w:p>
    <w:p w14:paraId="64AEAC68" w14:textId="2C0A16D8"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Collect only the minimum personal data necessary for the purpose </w:t>
      </w:r>
      <w:r w:rsidR="00643BB7">
        <w:rPr>
          <w:rFonts w:ascii="Aptos" w:eastAsia="Aptos" w:hAnsi="Aptos" w:cs="Aptos"/>
          <w:color w:val="7C7C81"/>
        </w:rPr>
        <w:t>-</w:t>
      </w:r>
      <w:r w:rsidR="00810BD9">
        <w:rPr>
          <w:rFonts w:ascii="Aptos" w:eastAsia="Aptos" w:hAnsi="Aptos" w:cs="Aptos"/>
          <w:color w:val="7C7C81"/>
        </w:rPr>
        <w:t xml:space="preserve"> do not collect data "just in case"</w:t>
      </w:r>
    </w:p>
    <w:p w14:paraId="64AEAC69" w14:textId="1EF13E0A"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Keep personal data accurate and flag inaccuracies for correction</w:t>
      </w:r>
    </w:p>
    <w:p w14:paraId="64AEAC6A" w14:textId="36B2AE0A"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Store personal data securely </w:t>
      </w:r>
      <w:r w:rsidR="00643BB7">
        <w:rPr>
          <w:rFonts w:ascii="Aptos" w:eastAsia="Aptos" w:hAnsi="Aptos" w:cs="Aptos"/>
          <w:color w:val="7C7C81"/>
        </w:rPr>
        <w:t>-</w:t>
      </w:r>
      <w:r w:rsidR="00810BD9">
        <w:rPr>
          <w:rFonts w:ascii="Aptos" w:eastAsia="Aptos" w:hAnsi="Aptos" w:cs="Aptos"/>
          <w:color w:val="7C7C81"/>
        </w:rPr>
        <w:t xml:space="preserve"> follow the organisation's IT and information security procedures</w:t>
      </w:r>
    </w:p>
    <w:p w14:paraId="64AEAC6B" w14:textId="3C076C43"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Not share personal data with third parties without authorisation</w:t>
      </w:r>
    </w:p>
    <w:p w14:paraId="64AEAC6C" w14:textId="0A3C45D5"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Not send personal data via unencrypted email where the data is sensitive or presents a risk</w:t>
      </w:r>
    </w:p>
    <w:p w14:paraId="64AEAC6D" w14:textId="1E78E674"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Lock screens when leaving a workstation unattended</w:t>
      </w:r>
    </w:p>
    <w:p w14:paraId="64AEAC6E" w14:textId="39FDFB9E"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Dispose of personal data securely </w:t>
      </w:r>
      <w:r w:rsidR="00643BB7">
        <w:rPr>
          <w:rFonts w:ascii="Aptos" w:eastAsia="Aptos" w:hAnsi="Aptos" w:cs="Aptos"/>
          <w:color w:val="7C7C81"/>
        </w:rPr>
        <w:t>-</w:t>
      </w:r>
      <w:r w:rsidR="00810BD9">
        <w:rPr>
          <w:rFonts w:ascii="Aptos" w:eastAsia="Aptos" w:hAnsi="Aptos" w:cs="Aptos"/>
          <w:color w:val="7C7C81"/>
        </w:rPr>
        <w:t xml:space="preserve"> physical records via approved secure shredding; digital records via approved deletion</w:t>
      </w:r>
    </w:p>
    <w:p w14:paraId="64AEAC6F" w14:textId="2FDC7956"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Complete mandatory data protection training as required</w:t>
      </w:r>
    </w:p>
    <w:p w14:paraId="64AEAC70" w14:textId="66B697FD"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Employees must not store or process personal data on personal devices unless specifically authorised and protected by approved security measures.</w:t>
      </w:r>
    </w:p>
    <w:p w14:paraId="64AEAC71" w14:textId="22D9AC9D"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Employees must follow password security requirements, including use of strong passwords and multi-factor authentication where implemented.</w:t>
      </w:r>
    </w:p>
    <w:p w14:paraId="64AEAC72" w14:textId="3CEC0FB6"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Employees should remain alert to phishing, social engineering and suspicious requests for personal data, and report concerns immediately.</w:t>
      </w:r>
    </w:p>
    <w:p w14:paraId="64AEAC73" w14:textId="390EE698"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Access to personal data should be restricted to individuals who genuinely require it for legitimate business purposes.</w:t>
      </w:r>
    </w:p>
    <w:p w14:paraId="64AEAC74" w14:textId="24B54329"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Confidential documents should not be left unattended in shared areas and screens containing personal data should not be visible to unauthorised individuals.</w:t>
      </w:r>
    </w:p>
    <w:p w14:paraId="64AEAC75" w14:textId="6338AE3A" w:rsidR="00D5605B" w:rsidRDefault="008B3FFD">
      <w:pPr>
        <w:spacing w:line="258" w:lineRule="auto"/>
        <w:ind w:left="300" w:hanging="220"/>
      </w:pPr>
      <w:r>
        <w:rPr>
          <w:rFonts w:ascii="Aptos" w:eastAsia="Aptos" w:hAnsi="Aptos" w:cs="Aptos"/>
          <w:b/>
          <w:bCs/>
          <w:color w:val="F29D22"/>
        </w:rPr>
        <w:lastRenderedPageBreak/>
        <w:t>-</w:t>
      </w:r>
      <w:r w:rsidR="00810BD9">
        <w:rPr>
          <w:rFonts w:ascii="Aptos" w:eastAsia="Aptos" w:hAnsi="Aptos" w:cs="Aptos"/>
          <w:b/>
          <w:bCs/>
          <w:color w:val="F29D22"/>
        </w:rPr>
        <w:t xml:space="preserve">  </w:t>
      </w:r>
      <w:r w:rsidR="00810BD9">
        <w:rPr>
          <w:rFonts w:ascii="Aptos" w:eastAsia="Aptos" w:hAnsi="Aptos" w:cs="Aptos"/>
          <w:color w:val="7C7C81"/>
        </w:rPr>
        <w:t>Employees working remotely must ensure personal data is protected from unauthorised access within the home environment, including secure storage of devices and documents.</w:t>
      </w:r>
    </w:p>
    <w:p w14:paraId="64AEAC76" w14:textId="3A46D059"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Personal email accounts or unapproved messaging applications must not be used to store or transmit personal data for work purposes.</w:t>
      </w:r>
    </w:p>
    <w:p w14:paraId="64AEAC77" w14:textId="0CCC8D18"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Personal data must not be transferred outside the UK unless appropriate safeguards and approval processes are in place.</w:t>
      </w:r>
    </w:p>
    <w:p w14:paraId="64AEAC78" w14:textId="216884E7"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Personal data should only be stored within approved organisational systems and platforms.</w:t>
      </w:r>
    </w:p>
    <w:p w14:paraId="64AEAC79" w14:textId="6659915F"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Employees should avoid sharing unnecessary personal data during meetings, presentations or internal communications.</w:t>
      </w:r>
    </w:p>
    <w:p w14:paraId="64AEAC7A" w14:textId="29357016"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Employees must not upload confidential or personal data into unauthorised AI or generative AI systems without approval and appropriate safeguards. Employees should be aware that some AI systems may retain, process or learn from submitted information.</w:t>
      </w:r>
    </w:p>
    <w:p w14:paraId="64AEAC7B" w14:textId="32A06FE6"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Employees are expected to cooperate fully with any internal investigation relating to data protection or information security concerns.</w:t>
      </w:r>
    </w:p>
    <w:p w14:paraId="64AEAC7C" w14:textId="0328ABC9"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Lost or stolen devices containing work-related information must be reported immediately to IT or the appropriate internal contact.</w:t>
      </w:r>
    </w:p>
    <w:p w14:paraId="64AEAC7D" w14:textId="6B66428A"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Employees should take care when discussing personal data in public or shared environments where conversations may be overheard.</w:t>
      </w:r>
    </w:p>
    <w:p w14:paraId="64AEAC7E" w14:textId="77777777" w:rsidR="00D5605B" w:rsidRDefault="00810BD9">
      <w:pPr>
        <w:keepNext/>
        <w:keepLines/>
        <w:spacing w:before="200" w:after="40"/>
      </w:pPr>
      <w:r>
        <w:rPr>
          <w:rFonts w:ascii="Aptos" w:eastAsia="Aptos" w:hAnsi="Aptos" w:cs="Aptos"/>
          <w:b/>
          <w:bCs/>
          <w:color w:val="F29D22"/>
          <w:spacing w:val="20"/>
        </w:rPr>
        <w:t>SECTION 06</w:t>
      </w:r>
    </w:p>
    <w:p w14:paraId="64AEAC7F" w14:textId="77777777" w:rsidR="00D5605B" w:rsidRDefault="00810BD9">
      <w:pPr>
        <w:keepNext/>
        <w:keepLines/>
      </w:pPr>
      <w:r>
        <w:rPr>
          <w:rFonts w:ascii="Aptos" w:eastAsia="Aptos" w:hAnsi="Aptos" w:cs="Aptos"/>
          <w:b/>
          <w:bCs/>
          <w:color w:val="7C7C81"/>
          <w:sz w:val="24"/>
          <w:szCs w:val="24"/>
        </w:rPr>
        <w:t>Lawful Basis for Processing</w:t>
      </w:r>
    </w:p>
    <w:p w14:paraId="64AEAC80" w14:textId="77777777" w:rsidR="00D5605B" w:rsidRDefault="00D5605B">
      <w:pPr>
        <w:keepNext/>
        <w:pBdr>
          <w:bottom w:val="single" w:sz="6" w:space="1" w:color="B9B8B9"/>
        </w:pBdr>
        <w:spacing w:after="120"/>
      </w:pPr>
    </w:p>
    <w:p w14:paraId="64AEAC81" w14:textId="77777777" w:rsidR="00D5605B" w:rsidRDefault="00810BD9">
      <w:pPr>
        <w:spacing w:before="150" w:after="160" w:line="264" w:lineRule="auto"/>
      </w:pPr>
      <w:r>
        <w:rPr>
          <w:rFonts w:ascii="Aptos" w:eastAsia="Aptos" w:hAnsi="Aptos" w:cs="Aptos"/>
          <w:color w:val="7C7C81"/>
        </w:rPr>
        <w:t>Personal data may only be processed where there is a lawful basis for doing so. The six lawful bases under UK GDPR are: consent; contract; legal obligation; vital interests; public task; and legitimate interests. The lawful basis relied upon will vary depending on the category of data and the purpose of processing.</w:t>
      </w:r>
    </w:p>
    <w:p w14:paraId="64AEAC82" w14:textId="77777777" w:rsidR="00D5605B" w:rsidRDefault="00810BD9">
      <w:pPr>
        <w:spacing w:after="160" w:line="264" w:lineRule="auto"/>
      </w:pPr>
      <w:r>
        <w:rPr>
          <w:rFonts w:ascii="Aptos" w:eastAsia="Aptos" w:hAnsi="Aptos" w:cs="Aptos"/>
          <w:color w:val="7C7C81"/>
        </w:rPr>
        <w:t>Special category data requires both a lawful basis and an additional condition under UK GDPR Article 9. Processing of special category data must be approved by HR / the Data Protection Officer before it commences.</w:t>
      </w:r>
    </w:p>
    <w:p w14:paraId="64AEAC83" w14:textId="77777777" w:rsidR="00D5605B" w:rsidRDefault="00810BD9">
      <w:pPr>
        <w:keepNext/>
        <w:keepLines/>
        <w:spacing w:before="200" w:after="40"/>
      </w:pPr>
      <w:r>
        <w:rPr>
          <w:rFonts w:ascii="Aptos" w:eastAsia="Aptos" w:hAnsi="Aptos" w:cs="Aptos"/>
          <w:b/>
          <w:bCs/>
          <w:color w:val="F29D22"/>
          <w:spacing w:val="20"/>
        </w:rPr>
        <w:t>SECTION 07</w:t>
      </w:r>
    </w:p>
    <w:p w14:paraId="64AEAC84" w14:textId="77777777" w:rsidR="00D5605B" w:rsidRDefault="00810BD9">
      <w:pPr>
        <w:keepNext/>
        <w:keepLines/>
      </w:pPr>
      <w:r>
        <w:rPr>
          <w:rFonts w:ascii="Aptos" w:eastAsia="Aptos" w:hAnsi="Aptos" w:cs="Aptos"/>
          <w:b/>
          <w:bCs/>
          <w:color w:val="7C7C81"/>
          <w:sz w:val="24"/>
          <w:szCs w:val="24"/>
        </w:rPr>
        <w:t>Individual Rights</w:t>
      </w:r>
    </w:p>
    <w:p w14:paraId="64AEAC85" w14:textId="77777777" w:rsidR="00D5605B" w:rsidRDefault="00D5605B">
      <w:pPr>
        <w:keepNext/>
        <w:pBdr>
          <w:bottom w:val="single" w:sz="6" w:space="1" w:color="B9B8B9"/>
        </w:pBdr>
        <w:spacing w:after="120"/>
      </w:pPr>
    </w:p>
    <w:p w14:paraId="64AEAC86" w14:textId="77777777" w:rsidR="00D5605B" w:rsidRDefault="00810BD9">
      <w:pPr>
        <w:spacing w:after="160" w:line="264" w:lineRule="auto"/>
      </w:pPr>
      <w:r>
        <w:rPr>
          <w:rFonts w:ascii="Aptos" w:eastAsia="Aptos" w:hAnsi="Aptos" w:cs="Aptos"/>
          <w:color w:val="7C7C81"/>
        </w:rPr>
        <w:t>Individuals have the following rights under UK GDPR. Requests to exercise these rights should be directed to [HR / DPO contact] and responded to within one calendar month:</w:t>
      </w:r>
    </w:p>
    <w:p w14:paraId="64AEAC87" w14:textId="066CFA26"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Right to be informed </w:t>
      </w:r>
      <w:r w:rsidR="00643BB7">
        <w:rPr>
          <w:rFonts w:ascii="Aptos" w:eastAsia="Aptos" w:hAnsi="Aptos" w:cs="Aptos"/>
          <w:color w:val="7C7C81"/>
        </w:rPr>
        <w:t>-</w:t>
      </w:r>
      <w:r w:rsidR="00810BD9">
        <w:rPr>
          <w:rFonts w:ascii="Aptos" w:eastAsia="Aptos" w:hAnsi="Aptos" w:cs="Aptos"/>
          <w:color w:val="7C7C81"/>
        </w:rPr>
        <w:t xml:space="preserve"> individuals must be told how their data is used (typically via a privacy notice)</w:t>
      </w:r>
    </w:p>
    <w:p w14:paraId="64AEAC88" w14:textId="30CA03A2"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Right of access </w:t>
      </w:r>
      <w:r w:rsidR="00643BB7">
        <w:rPr>
          <w:rFonts w:ascii="Aptos" w:eastAsia="Aptos" w:hAnsi="Aptos" w:cs="Aptos"/>
          <w:color w:val="7C7C81"/>
        </w:rPr>
        <w:t>-</w:t>
      </w:r>
      <w:r w:rsidR="00810BD9">
        <w:rPr>
          <w:rFonts w:ascii="Aptos" w:eastAsia="Aptos" w:hAnsi="Aptos" w:cs="Aptos"/>
          <w:color w:val="7C7C81"/>
        </w:rPr>
        <w:t xml:space="preserve"> individuals may request a copy of the personal data held about them</w:t>
      </w:r>
    </w:p>
    <w:p w14:paraId="64AEAC89" w14:textId="280C8BEF"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Right to rectification </w:t>
      </w:r>
      <w:r w:rsidR="00643BB7">
        <w:rPr>
          <w:rFonts w:ascii="Aptos" w:eastAsia="Aptos" w:hAnsi="Aptos" w:cs="Aptos"/>
          <w:color w:val="7C7C81"/>
        </w:rPr>
        <w:t>-</w:t>
      </w:r>
      <w:r w:rsidR="00810BD9">
        <w:rPr>
          <w:rFonts w:ascii="Aptos" w:eastAsia="Aptos" w:hAnsi="Aptos" w:cs="Aptos"/>
          <w:color w:val="7C7C81"/>
        </w:rPr>
        <w:t xml:space="preserve"> individuals may request correction of inaccurate data</w:t>
      </w:r>
    </w:p>
    <w:p w14:paraId="64AEAC8A" w14:textId="1CED22ED"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Right to erasure </w:t>
      </w:r>
      <w:r w:rsidR="00643BB7">
        <w:rPr>
          <w:rFonts w:ascii="Aptos" w:eastAsia="Aptos" w:hAnsi="Aptos" w:cs="Aptos"/>
          <w:color w:val="7C7C81"/>
        </w:rPr>
        <w:t>-</w:t>
      </w:r>
      <w:r w:rsidR="00810BD9">
        <w:rPr>
          <w:rFonts w:ascii="Aptos" w:eastAsia="Aptos" w:hAnsi="Aptos" w:cs="Aptos"/>
          <w:color w:val="7C7C81"/>
        </w:rPr>
        <w:t xml:space="preserve"> the right to be forgotten, subject to certain exemptions</w:t>
      </w:r>
    </w:p>
    <w:p w14:paraId="64AEAC8B" w14:textId="4C1D0EED"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Right to restrict processing </w:t>
      </w:r>
      <w:r w:rsidR="00643BB7">
        <w:rPr>
          <w:rFonts w:ascii="Aptos" w:eastAsia="Aptos" w:hAnsi="Aptos" w:cs="Aptos"/>
          <w:color w:val="7C7C81"/>
        </w:rPr>
        <w:t>-</w:t>
      </w:r>
      <w:r w:rsidR="00810BD9">
        <w:rPr>
          <w:rFonts w:ascii="Aptos" w:eastAsia="Aptos" w:hAnsi="Aptos" w:cs="Aptos"/>
          <w:color w:val="7C7C81"/>
        </w:rPr>
        <w:t xml:space="preserve"> individuals may ask for processing to be restricted in certain circumstances</w:t>
      </w:r>
    </w:p>
    <w:p w14:paraId="64AEAC8C" w14:textId="5054FFC4"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Right to data portability </w:t>
      </w:r>
      <w:r w:rsidR="00643BB7">
        <w:rPr>
          <w:rFonts w:ascii="Aptos" w:eastAsia="Aptos" w:hAnsi="Aptos" w:cs="Aptos"/>
          <w:color w:val="7C7C81"/>
        </w:rPr>
        <w:t>-</w:t>
      </w:r>
      <w:r w:rsidR="00810BD9">
        <w:rPr>
          <w:rFonts w:ascii="Aptos" w:eastAsia="Aptos" w:hAnsi="Aptos" w:cs="Aptos"/>
          <w:color w:val="7C7C81"/>
        </w:rPr>
        <w:t xml:space="preserve"> the right to receive data in a commonly used format</w:t>
      </w:r>
    </w:p>
    <w:p w14:paraId="64AEAC8D" w14:textId="53027659"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 xml:space="preserve">Right to object </w:t>
      </w:r>
      <w:r w:rsidR="00643BB7">
        <w:rPr>
          <w:rFonts w:ascii="Aptos" w:eastAsia="Aptos" w:hAnsi="Aptos" w:cs="Aptos"/>
          <w:color w:val="7C7C81"/>
        </w:rPr>
        <w:t>-</w:t>
      </w:r>
      <w:r w:rsidR="00810BD9">
        <w:rPr>
          <w:rFonts w:ascii="Aptos" w:eastAsia="Aptos" w:hAnsi="Aptos" w:cs="Aptos"/>
          <w:color w:val="7C7C81"/>
        </w:rPr>
        <w:t xml:space="preserve"> including the right to object to processing for direct marketing</w:t>
      </w:r>
    </w:p>
    <w:p w14:paraId="64AEAC8E" w14:textId="5E5364B3" w:rsidR="00D5605B" w:rsidRDefault="008B3FFD">
      <w:pPr>
        <w:spacing w:line="258" w:lineRule="auto"/>
        <w:ind w:left="300" w:hanging="220"/>
      </w:pPr>
      <w:r>
        <w:rPr>
          <w:rFonts w:ascii="Aptos" w:eastAsia="Aptos" w:hAnsi="Aptos" w:cs="Aptos"/>
          <w:b/>
          <w:bCs/>
          <w:color w:val="F29D22"/>
        </w:rPr>
        <w:t>-</w:t>
      </w:r>
      <w:r w:rsidR="00810BD9">
        <w:rPr>
          <w:rFonts w:ascii="Aptos" w:eastAsia="Aptos" w:hAnsi="Aptos" w:cs="Aptos"/>
          <w:b/>
          <w:bCs/>
          <w:color w:val="F29D22"/>
        </w:rPr>
        <w:t xml:space="preserve">  </w:t>
      </w:r>
      <w:r w:rsidR="00810BD9">
        <w:rPr>
          <w:rFonts w:ascii="Aptos" w:eastAsia="Aptos" w:hAnsi="Aptos" w:cs="Aptos"/>
          <w:color w:val="7C7C81"/>
        </w:rPr>
        <w:t>Rights relating to automated decision-making and profiling</w:t>
      </w:r>
    </w:p>
    <w:p w14:paraId="64AEAC8F" w14:textId="77777777" w:rsidR="00D5605B" w:rsidRDefault="00810BD9">
      <w:pPr>
        <w:spacing w:before="150" w:after="160" w:line="264" w:lineRule="auto"/>
      </w:pPr>
      <w:r>
        <w:rPr>
          <w:rFonts w:ascii="Aptos" w:eastAsia="Aptos" w:hAnsi="Aptos" w:cs="Aptos"/>
          <w:color w:val="7C7C81"/>
        </w:rPr>
        <w:t>Employees receiving a subject access request or other data rights request directly should forward it immediately to HR or the DPO and should not respond independently unless authorised.</w:t>
      </w:r>
    </w:p>
    <w:p w14:paraId="64AEAC90" w14:textId="77777777" w:rsidR="00D5605B" w:rsidRDefault="00810BD9">
      <w:pPr>
        <w:spacing w:after="160" w:line="264" w:lineRule="auto"/>
      </w:pPr>
      <w:r>
        <w:rPr>
          <w:rFonts w:ascii="Aptos" w:eastAsia="Aptos" w:hAnsi="Aptos" w:cs="Aptos"/>
          <w:color w:val="7C7C81"/>
        </w:rPr>
        <w:t>Further information about how the organisation processes personal data is available in the relevant privacy notices.</w:t>
      </w:r>
    </w:p>
    <w:p w14:paraId="64AEAC91" w14:textId="77777777" w:rsidR="00D5605B" w:rsidRDefault="00810BD9">
      <w:pPr>
        <w:keepNext/>
        <w:keepLines/>
        <w:spacing w:before="200" w:after="40"/>
      </w:pPr>
      <w:r>
        <w:rPr>
          <w:rFonts w:ascii="Aptos" w:eastAsia="Aptos" w:hAnsi="Aptos" w:cs="Aptos"/>
          <w:b/>
          <w:bCs/>
          <w:color w:val="F29D22"/>
          <w:spacing w:val="20"/>
        </w:rPr>
        <w:lastRenderedPageBreak/>
        <w:t>SECTION 08</w:t>
      </w:r>
    </w:p>
    <w:p w14:paraId="64AEAC92" w14:textId="77777777" w:rsidR="00D5605B" w:rsidRDefault="00810BD9">
      <w:pPr>
        <w:keepNext/>
        <w:keepLines/>
      </w:pPr>
      <w:r>
        <w:rPr>
          <w:rFonts w:ascii="Aptos" w:eastAsia="Aptos" w:hAnsi="Aptos" w:cs="Aptos"/>
          <w:b/>
          <w:bCs/>
          <w:color w:val="7C7C81"/>
          <w:sz w:val="24"/>
          <w:szCs w:val="24"/>
        </w:rPr>
        <w:t>Data Breaches</w:t>
      </w:r>
    </w:p>
    <w:p w14:paraId="64AEAC93" w14:textId="77777777" w:rsidR="00D5605B" w:rsidRDefault="00D5605B">
      <w:pPr>
        <w:keepNext/>
        <w:pBdr>
          <w:bottom w:val="single" w:sz="6" w:space="1" w:color="B9B8B9"/>
        </w:pBdr>
        <w:spacing w:after="120"/>
      </w:pPr>
    </w:p>
    <w:p w14:paraId="64AEAC94" w14:textId="058F5D25" w:rsidR="00D5605B" w:rsidRDefault="00810BD9">
      <w:pPr>
        <w:spacing w:after="160" w:line="264" w:lineRule="auto"/>
      </w:pPr>
      <w:r>
        <w:rPr>
          <w:rFonts w:ascii="Aptos" w:eastAsia="Aptos" w:hAnsi="Aptos" w:cs="Aptos"/>
          <w:color w:val="7C7C81"/>
        </w:rPr>
        <w:t xml:space="preserve">A personal data breach is a breach of security leading to the accidental or unlawful destruction, loss, alteration, unauthorised disclosure of or access to personal data. All suspected or confirmed data breaches must be reported to [HR / DPO / IT] immediately upon discovery </w:t>
      </w:r>
      <w:r w:rsidR="00643BB7">
        <w:rPr>
          <w:rFonts w:ascii="Aptos" w:eastAsia="Aptos" w:hAnsi="Aptos" w:cs="Aptos"/>
          <w:color w:val="7C7C81"/>
        </w:rPr>
        <w:t>-</w:t>
      </w:r>
      <w:r>
        <w:rPr>
          <w:rFonts w:ascii="Aptos" w:eastAsia="Aptos" w:hAnsi="Aptos" w:cs="Aptos"/>
          <w:color w:val="7C7C81"/>
        </w:rPr>
        <w:t xml:space="preserve"> do not attempt to manage a breach alone.</w:t>
      </w:r>
    </w:p>
    <w:p w14:paraId="64AEAC95" w14:textId="77777777" w:rsidR="00D5605B" w:rsidRDefault="00810BD9">
      <w:pPr>
        <w:pBdr>
          <w:left w:val="single" w:sz="18" w:space="10" w:color="F29D22"/>
        </w:pBdr>
        <w:spacing w:line="264" w:lineRule="auto"/>
        <w:ind w:left="260"/>
      </w:pPr>
      <w:r>
        <w:rPr>
          <w:rFonts w:ascii="Aptos" w:eastAsia="Aptos" w:hAnsi="Aptos" w:cs="Aptos"/>
          <w:color w:val="7C7C81"/>
        </w:rPr>
        <w:t>Under UK GDPR, certain data breaches must be reported to the Information Commissioner's Office (ICO) within 72 hours of the organisation becoming aware of the breach. Delay in reporting internally may prevent the organisation from meeting its legal reporting obligations.</w:t>
      </w:r>
    </w:p>
    <w:p w14:paraId="64AEAC96" w14:textId="6AB1B464" w:rsidR="00D5605B" w:rsidRDefault="002C0820">
      <w:pPr>
        <w:spacing w:after="160" w:line="264" w:lineRule="auto"/>
      </w:pPr>
      <w:r>
        <w:rPr>
          <w:rFonts w:ascii="Aptos" w:eastAsia="Aptos" w:hAnsi="Aptos" w:cs="Aptos"/>
          <w:color w:val="7C7C81"/>
        </w:rPr>
        <w:br/>
        <w:t>Examples include sending personal data to the wrong recipient, losing a device containing personal data, unauthorised access to records or accidental disclosure during conversations.</w:t>
      </w:r>
    </w:p>
    <w:p w14:paraId="64AEAC98" w14:textId="4BD03F93" w:rsidR="00D5605B" w:rsidRDefault="00810BD9">
      <w:pPr>
        <w:spacing w:after="160" w:line="264" w:lineRule="auto"/>
      </w:pPr>
      <w:r>
        <w:rPr>
          <w:rFonts w:ascii="Aptos" w:eastAsia="Aptos" w:hAnsi="Aptos" w:cs="Aptos"/>
          <w:color w:val="7C7C81"/>
        </w:rPr>
        <w:t>Employees should also report suspected near misses or vulnerabilities that could potentially lead to a data breach.</w:t>
      </w:r>
      <w:r w:rsidR="002C0820">
        <w:rPr>
          <w:rFonts w:ascii="Aptos" w:eastAsia="Aptos" w:hAnsi="Aptos" w:cs="Aptos"/>
          <w:color w:val="7C7C81"/>
        </w:rPr>
        <w:t xml:space="preserve"> </w:t>
      </w:r>
      <w:r>
        <w:rPr>
          <w:rFonts w:ascii="Aptos" w:eastAsia="Aptos" w:hAnsi="Aptos" w:cs="Aptos"/>
          <w:color w:val="7C7C81"/>
        </w:rPr>
        <w:t>Where safe and appropriate, immediate steps should be taken to contain or minimise the impact of a suspected breach while awaiting further instruction.</w:t>
      </w:r>
    </w:p>
    <w:p w14:paraId="64AEAC99" w14:textId="77777777" w:rsidR="00D5605B" w:rsidRDefault="00810BD9">
      <w:pPr>
        <w:keepNext/>
        <w:keepLines/>
        <w:spacing w:before="200" w:after="40"/>
      </w:pPr>
      <w:r>
        <w:rPr>
          <w:rFonts w:ascii="Aptos" w:eastAsia="Aptos" w:hAnsi="Aptos" w:cs="Aptos"/>
          <w:b/>
          <w:bCs/>
          <w:color w:val="F29D22"/>
          <w:spacing w:val="20"/>
        </w:rPr>
        <w:t>SECTION 09</w:t>
      </w:r>
    </w:p>
    <w:p w14:paraId="64AEAC9A" w14:textId="77777777" w:rsidR="00D5605B" w:rsidRDefault="00810BD9">
      <w:pPr>
        <w:keepNext/>
        <w:keepLines/>
      </w:pPr>
      <w:r>
        <w:rPr>
          <w:rFonts w:ascii="Aptos" w:eastAsia="Aptos" w:hAnsi="Aptos" w:cs="Aptos"/>
          <w:b/>
          <w:bCs/>
          <w:color w:val="7C7C81"/>
          <w:sz w:val="24"/>
          <w:szCs w:val="24"/>
        </w:rPr>
        <w:t>Data Retention</w:t>
      </w:r>
    </w:p>
    <w:p w14:paraId="64AEAC9B" w14:textId="77777777" w:rsidR="00D5605B" w:rsidRDefault="00D5605B">
      <w:pPr>
        <w:keepNext/>
        <w:pBdr>
          <w:bottom w:val="single" w:sz="6" w:space="1" w:color="B9B8B9"/>
        </w:pBdr>
        <w:spacing w:after="120"/>
      </w:pPr>
    </w:p>
    <w:p w14:paraId="64AEAC9C" w14:textId="77777777" w:rsidR="00D5605B" w:rsidRDefault="00810BD9">
      <w:pPr>
        <w:spacing w:after="160" w:line="264" w:lineRule="auto"/>
      </w:pPr>
      <w:r>
        <w:rPr>
          <w:rFonts w:ascii="Aptos" w:eastAsia="Aptos" w:hAnsi="Aptos" w:cs="Aptos"/>
          <w:color w:val="7C7C81"/>
        </w:rPr>
        <w:t>Personal data must not be kept for longer than is necessary for the purpose for which it was collected. The organisation's data retention schedule sets out the retention periods applicable to each category of data. Where data is no longer required for its original purpose, it must be securely deleted or destroyed.</w:t>
      </w:r>
    </w:p>
    <w:p w14:paraId="64AEAC9D" w14:textId="77777777" w:rsidR="00D5605B" w:rsidRDefault="00810BD9">
      <w:pPr>
        <w:spacing w:after="160" w:line="264" w:lineRule="auto"/>
      </w:pPr>
      <w:r>
        <w:rPr>
          <w:rFonts w:ascii="Aptos" w:eastAsia="Aptos" w:hAnsi="Aptos" w:cs="Aptos"/>
          <w:color w:val="7C7C81"/>
        </w:rPr>
        <w:t>Employees must not retain personal data in personal email accounts, personal devices or unapproved cloud storage services. Retention periods represent maximum retention timeframes unless a legitimate business or legal reason exists for earlier deletion or extended retention.</w:t>
      </w:r>
    </w:p>
    <w:p w14:paraId="64AEAC9E" w14:textId="77777777" w:rsidR="00D5605B" w:rsidRDefault="00810BD9">
      <w:pPr>
        <w:keepNext/>
        <w:keepLines/>
        <w:spacing w:before="200" w:after="40"/>
      </w:pPr>
      <w:r>
        <w:rPr>
          <w:rFonts w:ascii="Aptos" w:eastAsia="Aptos" w:hAnsi="Aptos" w:cs="Aptos"/>
          <w:b/>
          <w:bCs/>
          <w:color w:val="F29D22"/>
          <w:spacing w:val="20"/>
        </w:rPr>
        <w:t>SECTION 10</w:t>
      </w:r>
    </w:p>
    <w:p w14:paraId="64AEAC9F" w14:textId="77777777" w:rsidR="00D5605B" w:rsidRDefault="00810BD9">
      <w:pPr>
        <w:keepNext/>
        <w:keepLines/>
      </w:pPr>
      <w:r>
        <w:rPr>
          <w:rFonts w:ascii="Aptos" w:eastAsia="Aptos" w:hAnsi="Aptos" w:cs="Aptos"/>
          <w:b/>
          <w:bCs/>
          <w:color w:val="7C7C81"/>
          <w:sz w:val="24"/>
          <w:szCs w:val="24"/>
        </w:rPr>
        <w:t>Data Protection Officer</w:t>
      </w:r>
    </w:p>
    <w:p w14:paraId="64AEACA0" w14:textId="77777777" w:rsidR="00D5605B" w:rsidRDefault="00D5605B">
      <w:pPr>
        <w:keepNext/>
        <w:pBdr>
          <w:bottom w:val="single" w:sz="6" w:space="1" w:color="B9B8B9"/>
        </w:pBdr>
        <w:spacing w:after="120"/>
      </w:pPr>
    </w:p>
    <w:p w14:paraId="64AEACA1" w14:textId="77777777" w:rsidR="00D5605B" w:rsidRDefault="00810BD9">
      <w:pPr>
        <w:spacing w:after="160" w:line="264" w:lineRule="auto"/>
      </w:pPr>
      <w:r>
        <w:rPr>
          <w:rFonts w:ascii="Aptos" w:eastAsia="Aptos" w:hAnsi="Aptos" w:cs="Aptos"/>
          <w:color w:val="7C7C81"/>
        </w:rPr>
        <w:t>[This organisation has appointed / has not appointed] a Data Protection Officer (DPO). The DPO can be contacted at [name / email / phone]. All queries about data protection should be directed in the first instance to HR.</w:t>
      </w:r>
    </w:p>
    <w:p w14:paraId="64AEACA2" w14:textId="77777777" w:rsidR="00D5605B" w:rsidRDefault="00810BD9">
      <w:pPr>
        <w:keepNext/>
        <w:keepLines/>
        <w:spacing w:before="200" w:after="40"/>
      </w:pPr>
      <w:r>
        <w:rPr>
          <w:rFonts w:ascii="Aptos" w:eastAsia="Aptos" w:hAnsi="Aptos" w:cs="Aptos"/>
          <w:b/>
          <w:bCs/>
          <w:color w:val="F29D22"/>
          <w:spacing w:val="20"/>
        </w:rPr>
        <w:t>SECTION 11</w:t>
      </w:r>
    </w:p>
    <w:p w14:paraId="64AEACA3" w14:textId="77777777" w:rsidR="00D5605B" w:rsidRDefault="00810BD9">
      <w:pPr>
        <w:keepNext/>
        <w:keepLines/>
      </w:pPr>
      <w:r>
        <w:rPr>
          <w:rFonts w:ascii="Aptos" w:eastAsia="Aptos" w:hAnsi="Aptos" w:cs="Aptos"/>
          <w:b/>
          <w:bCs/>
          <w:color w:val="7C7C81"/>
          <w:sz w:val="24"/>
          <w:szCs w:val="24"/>
        </w:rPr>
        <w:t>Consequences of Breach</w:t>
      </w:r>
    </w:p>
    <w:p w14:paraId="64AEACA4" w14:textId="77777777" w:rsidR="00D5605B" w:rsidRDefault="00D5605B">
      <w:pPr>
        <w:keepNext/>
        <w:pBdr>
          <w:bottom w:val="single" w:sz="6" w:space="1" w:color="B9B8B9"/>
        </w:pBdr>
        <w:spacing w:after="120"/>
      </w:pPr>
    </w:p>
    <w:p w14:paraId="64AEACA5" w14:textId="7FD6891F" w:rsidR="00D5605B" w:rsidRDefault="00810BD9">
      <w:pPr>
        <w:spacing w:after="160" w:line="264" w:lineRule="auto"/>
      </w:pPr>
      <w:r>
        <w:rPr>
          <w:rFonts w:ascii="Aptos" w:eastAsia="Aptos" w:hAnsi="Aptos" w:cs="Aptos"/>
          <w:color w:val="7C7C81"/>
        </w:rPr>
        <w:t xml:space="preserve">Failure to comply with this policy may result in disciplinary action up to and including dismissal. Serious breaches may also expose individual employees to regulatory or legal consequences. The organisation may also face significant fines from the ICO </w:t>
      </w:r>
      <w:r w:rsidR="00643BB7">
        <w:rPr>
          <w:rFonts w:ascii="Aptos" w:eastAsia="Aptos" w:hAnsi="Aptos" w:cs="Aptos"/>
          <w:color w:val="7C7C81"/>
        </w:rPr>
        <w:t>-</w:t>
      </w:r>
      <w:r>
        <w:rPr>
          <w:rFonts w:ascii="Aptos" w:eastAsia="Aptos" w:hAnsi="Aptos" w:cs="Aptos"/>
          <w:color w:val="7C7C81"/>
        </w:rPr>
        <w:t xml:space="preserve"> up to £17.5 million or 4% of global annual turnover, whichever is higher.</w:t>
      </w:r>
    </w:p>
    <w:p w14:paraId="64AEACA6" w14:textId="77777777" w:rsidR="00D5605B" w:rsidRDefault="00810BD9">
      <w:pPr>
        <w:keepNext/>
        <w:keepLines/>
        <w:spacing w:before="200" w:after="40"/>
      </w:pPr>
      <w:r>
        <w:rPr>
          <w:rFonts w:ascii="Aptos" w:eastAsia="Aptos" w:hAnsi="Aptos" w:cs="Aptos"/>
          <w:b/>
          <w:bCs/>
          <w:color w:val="F29D22"/>
          <w:spacing w:val="20"/>
        </w:rPr>
        <w:t>SECTION 12</w:t>
      </w:r>
    </w:p>
    <w:p w14:paraId="64AEACA7" w14:textId="77777777" w:rsidR="00D5605B" w:rsidRDefault="00810BD9">
      <w:pPr>
        <w:keepNext/>
        <w:keepLines/>
      </w:pPr>
      <w:r>
        <w:rPr>
          <w:rFonts w:ascii="Aptos" w:eastAsia="Aptos" w:hAnsi="Aptos" w:cs="Aptos"/>
          <w:b/>
          <w:bCs/>
          <w:color w:val="7C7C81"/>
          <w:sz w:val="24"/>
          <w:szCs w:val="24"/>
        </w:rPr>
        <w:t>Policy Review</w:t>
      </w:r>
    </w:p>
    <w:p w14:paraId="64AEACA8" w14:textId="77777777" w:rsidR="00D5605B" w:rsidRDefault="00D5605B">
      <w:pPr>
        <w:keepNext/>
        <w:pBdr>
          <w:bottom w:val="single" w:sz="6" w:space="1" w:color="B9B8B9"/>
        </w:pBdr>
        <w:spacing w:after="120"/>
      </w:pPr>
    </w:p>
    <w:p w14:paraId="64AEACA9" w14:textId="77777777" w:rsidR="00D5605B" w:rsidRDefault="00810BD9">
      <w:pPr>
        <w:spacing w:after="160" w:line="264" w:lineRule="auto"/>
      </w:pPr>
      <w:r>
        <w:rPr>
          <w:rFonts w:ascii="Aptos" w:eastAsia="Aptos" w:hAnsi="Aptos" w:cs="Aptos"/>
          <w:color w:val="7C7C81"/>
        </w:rPr>
        <w:t>This policy will be reviewed annually or following any significant legislative change or material data protection incident. The policy owner is responsible for ensuring it remains current, accurate and compliant. The organisation may carry out monitoring, audits or compliance checks to assess adherence to this policy and identify areas for improvement.</w:t>
      </w:r>
    </w:p>
    <w:sectPr w:rsidR="00D5605B">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610F" w14:textId="77777777" w:rsidR="00C270FF" w:rsidRDefault="00C270FF">
      <w:r>
        <w:separator/>
      </w:r>
    </w:p>
  </w:endnote>
  <w:endnote w:type="continuationSeparator" w:id="0">
    <w:p w14:paraId="64B9AF4A" w14:textId="77777777" w:rsidR="00C270FF" w:rsidRDefault="00C2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ACAC" w14:textId="77777777" w:rsidR="00D5605B" w:rsidRDefault="00810BD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4AEACAD" w14:textId="77777777" w:rsidR="00D5605B" w:rsidRDefault="00810BD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2A71C" w14:textId="77777777" w:rsidR="00C270FF" w:rsidRDefault="00C270FF">
      <w:r>
        <w:separator/>
      </w:r>
    </w:p>
  </w:footnote>
  <w:footnote w:type="continuationSeparator" w:id="0">
    <w:p w14:paraId="71C64361" w14:textId="77777777" w:rsidR="00C270FF" w:rsidRDefault="00C2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ACAA" w14:textId="77777777" w:rsidR="00D5605B" w:rsidRDefault="00810BD9">
    <w:pPr>
      <w:jc w:val="center"/>
    </w:pPr>
    <w:r>
      <w:rPr>
        <w:noProof/>
      </w:rPr>
      <w:drawing>
        <wp:inline distT="0" distB="0" distL="0" distR="0" wp14:anchorId="64AEACAE" wp14:editId="64AEACAF">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4AEACAB" w14:textId="77777777" w:rsidR="00D5605B" w:rsidRDefault="00D5605B">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A7111"/>
    <w:multiLevelType w:val="hybridMultilevel"/>
    <w:tmpl w:val="85184B10"/>
    <w:lvl w:ilvl="0" w:tplc="F6EC6C7A">
      <w:start w:val="1"/>
      <w:numFmt w:val="bullet"/>
      <w:lvlText w:val="●"/>
      <w:lvlJc w:val="left"/>
      <w:pPr>
        <w:ind w:left="720" w:hanging="360"/>
      </w:pPr>
    </w:lvl>
    <w:lvl w:ilvl="1" w:tplc="F6B2A700">
      <w:start w:val="1"/>
      <w:numFmt w:val="bullet"/>
      <w:lvlText w:val="○"/>
      <w:lvlJc w:val="left"/>
      <w:pPr>
        <w:ind w:left="1440" w:hanging="360"/>
      </w:pPr>
    </w:lvl>
    <w:lvl w:ilvl="2" w:tplc="54E07280">
      <w:start w:val="1"/>
      <w:numFmt w:val="bullet"/>
      <w:lvlText w:val="■"/>
      <w:lvlJc w:val="left"/>
      <w:pPr>
        <w:ind w:left="2160" w:hanging="360"/>
      </w:pPr>
    </w:lvl>
    <w:lvl w:ilvl="3" w:tplc="2B7474CE">
      <w:start w:val="1"/>
      <w:numFmt w:val="bullet"/>
      <w:lvlText w:val="●"/>
      <w:lvlJc w:val="left"/>
      <w:pPr>
        <w:ind w:left="2880" w:hanging="360"/>
      </w:pPr>
    </w:lvl>
    <w:lvl w:ilvl="4" w:tplc="611AB7C2">
      <w:start w:val="1"/>
      <w:numFmt w:val="bullet"/>
      <w:lvlText w:val="○"/>
      <w:lvlJc w:val="left"/>
      <w:pPr>
        <w:ind w:left="3600" w:hanging="360"/>
      </w:pPr>
    </w:lvl>
    <w:lvl w:ilvl="5" w:tplc="408CCEAC">
      <w:start w:val="1"/>
      <w:numFmt w:val="bullet"/>
      <w:lvlText w:val="■"/>
      <w:lvlJc w:val="left"/>
      <w:pPr>
        <w:ind w:left="4320" w:hanging="360"/>
      </w:pPr>
    </w:lvl>
    <w:lvl w:ilvl="6" w:tplc="57945990">
      <w:start w:val="1"/>
      <w:numFmt w:val="bullet"/>
      <w:lvlText w:val="●"/>
      <w:lvlJc w:val="left"/>
      <w:pPr>
        <w:ind w:left="5040" w:hanging="360"/>
      </w:pPr>
    </w:lvl>
    <w:lvl w:ilvl="7" w:tplc="68A01F74">
      <w:start w:val="1"/>
      <w:numFmt w:val="bullet"/>
      <w:lvlText w:val="●"/>
      <w:lvlJc w:val="left"/>
      <w:pPr>
        <w:ind w:left="5760" w:hanging="360"/>
      </w:pPr>
    </w:lvl>
    <w:lvl w:ilvl="8" w:tplc="E8EAFEF0">
      <w:start w:val="1"/>
      <w:numFmt w:val="bullet"/>
      <w:lvlText w:val="●"/>
      <w:lvlJc w:val="left"/>
      <w:pPr>
        <w:ind w:left="6480" w:hanging="360"/>
      </w:pPr>
    </w:lvl>
  </w:abstractNum>
  <w:num w:numId="1" w16cid:durableId="16091167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05B"/>
    <w:rsid w:val="001064C3"/>
    <w:rsid w:val="002C0820"/>
    <w:rsid w:val="00571942"/>
    <w:rsid w:val="00643BB7"/>
    <w:rsid w:val="00711FBF"/>
    <w:rsid w:val="00810BD9"/>
    <w:rsid w:val="0085455B"/>
    <w:rsid w:val="008727F0"/>
    <w:rsid w:val="008B3FFD"/>
    <w:rsid w:val="00C270FF"/>
    <w:rsid w:val="00D5605B"/>
    <w:rsid w:val="00D91B0A"/>
    <w:rsid w:val="00F268E0"/>
    <w:rsid w:val="00F56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AC0B"/>
  <w15:docId w15:val="{286B7457-738E-4A5D-9255-9810858B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1992</Words>
  <Characters>9845</Characters>
  <Application>Microsoft Office Word</Application>
  <DocSecurity>0</DocSecurity>
  <Lines>447</Lines>
  <Paragraphs>381</Paragraphs>
  <ScaleCrop>false</ScaleCrop>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GDPR Policy</dc:title>
  <dc:creator>White Cube Consulting</dc:creator>
  <cp:lastModifiedBy>Campbell Urquhart</cp:lastModifiedBy>
  <cp:revision>6</cp:revision>
  <dcterms:created xsi:type="dcterms:W3CDTF">2026-07-03T12:13:00Z</dcterms:created>
  <dcterms:modified xsi:type="dcterms:W3CDTF">2026-07-17T08:55:00Z</dcterms:modified>
</cp:coreProperties>
</file>