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8BA46" w14:textId="77777777" w:rsidR="003410D5" w:rsidRDefault="001F710F">
      <w:pPr>
        <w:keepNext/>
        <w:spacing w:after="60"/>
        <w:jc w:val="center"/>
      </w:pPr>
      <w:r>
        <w:rPr>
          <w:rFonts w:ascii="Aptos" w:eastAsia="Aptos" w:hAnsi="Aptos" w:cs="Aptos"/>
          <w:b/>
          <w:bCs/>
          <w:color w:val="F29D22"/>
          <w:spacing w:val="22"/>
        </w:rPr>
        <w:t>ABSENCE &amp; WELLBEING</w:t>
      </w:r>
    </w:p>
    <w:p w14:paraId="2FF8BA47" w14:textId="77777777" w:rsidR="003410D5" w:rsidRDefault="001F710F">
      <w:pPr>
        <w:spacing w:after="60"/>
        <w:jc w:val="center"/>
      </w:pPr>
      <w:r>
        <w:rPr>
          <w:rFonts w:ascii="Aptos" w:eastAsia="Aptos" w:hAnsi="Aptos" w:cs="Aptos"/>
          <w:b/>
          <w:bCs/>
          <w:color w:val="7C7C81"/>
          <w:sz w:val="48"/>
          <w:szCs w:val="48"/>
        </w:rPr>
        <w:t>Menopause Support Policy</w:t>
      </w:r>
    </w:p>
    <w:p w14:paraId="2FF8BA48" w14:textId="77777777" w:rsidR="003410D5" w:rsidRDefault="001F710F">
      <w:pPr>
        <w:spacing w:after="120"/>
        <w:jc w:val="center"/>
      </w:pPr>
      <w:r>
        <w:rPr>
          <w:rFonts w:ascii="Aptos" w:eastAsia="Aptos" w:hAnsi="Aptos" w:cs="Aptos"/>
          <w:color w:val="7C7C81"/>
        </w:rPr>
        <w:t>Absence &amp; Wellbeing  |  White Cube Consulting</w:t>
      </w:r>
    </w:p>
    <w:p w14:paraId="2FF8BA49" w14:textId="77777777" w:rsidR="003410D5" w:rsidRDefault="003410D5">
      <w:pPr>
        <w:keepNext/>
        <w:pBdr>
          <w:bottom w:val="single" w:sz="4" w:space="1" w:color="B9B8B9"/>
        </w:pBdr>
        <w:spacing w:after="200"/>
      </w:pPr>
    </w:p>
    <w:tbl>
      <w:tblPr>
        <w:tblW w:w="9638" w:type="dxa"/>
        <w:tblLayout w:type="fixed"/>
        <w:tblLook w:val="04A0" w:firstRow="1" w:lastRow="0" w:firstColumn="1" w:lastColumn="0" w:noHBand="0" w:noVBand="1"/>
      </w:tblPr>
      <w:tblGrid>
        <w:gridCol w:w="2700"/>
        <w:gridCol w:w="6938"/>
      </w:tblGrid>
      <w:tr w:rsidR="00915A05" w14:paraId="3E36A1B5"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2876A12" w14:textId="77777777" w:rsidR="00915A05" w:rsidRPr="00D202F7" w:rsidRDefault="00915A05" w:rsidP="00F6572F">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FFD29BA" w14:textId="77777777" w:rsidR="00915A05" w:rsidRPr="00BB5C44" w:rsidRDefault="00915A05" w:rsidP="00F6572F">
            <w:pPr>
              <w:rPr>
                <w:rFonts w:ascii="Aptos" w:eastAsia="Aptos" w:hAnsi="Aptos" w:cs="Aptos"/>
                <w:color w:val="7C7C81"/>
              </w:rPr>
            </w:pPr>
            <w:r>
              <w:rPr>
                <w:rFonts w:ascii="Aptos" w:eastAsia="Aptos" w:hAnsi="Aptos" w:cs="Aptos"/>
                <w:color w:val="7C7C81"/>
              </w:rPr>
              <w:t>[Organisation Name]</w:t>
            </w:r>
          </w:p>
        </w:tc>
      </w:tr>
      <w:tr w:rsidR="00915A05" w14:paraId="46A92493"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0E66E20" w14:textId="77777777" w:rsidR="00915A05" w:rsidRPr="00D202F7" w:rsidRDefault="00915A05" w:rsidP="00F6572F">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31BA581" w14:textId="77777777" w:rsidR="00915A05" w:rsidRPr="00BB5C44" w:rsidRDefault="00915A05" w:rsidP="00F6572F">
            <w:pPr>
              <w:rPr>
                <w:rFonts w:ascii="Aptos" w:eastAsia="Aptos" w:hAnsi="Aptos" w:cs="Aptos"/>
                <w:color w:val="7C7C81"/>
              </w:rPr>
            </w:pPr>
            <w:r>
              <w:rPr>
                <w:rFonts w:ascii="Aptos" w:eastAsia="Aptos" w:hAnsi="Aptos" w:cs="Aptos"/>
                <w:color w:val="7C7C81"/>
              </w:rPr>
              <w:t>Version 1.0</w:t>
            </w:r>
          </w:p>
        </w:tc>
      </w:tr>
      <w:tr w:rsidR="00915A05" w14:paraId="3FFBD74C"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1ECE5A8" w14:textId="77777777" w:rsidR="00915A05" w:rsidRPr="00D202F7" w:rsidRDefault="00915A05" w:rsidP="00F6572F">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8333818" w14:textId="77777777" w:rsidR="00915A05" w:rsidRPr="00BB5C44" w:rsidRDefault="00915A05" w:rsidP="00F6572F">
            <w:pPr>
              <w:rPr>
                <w:rFonts w:ascii="Aptos" w:eastAsia="Aptos" w:hAnsi="Aptos" w:cs="Aptos"/>
                <w:color w:val="7C7C81"/>
              </w:rPr>
            </w:pPr>
            <w:r>
              <w:rPr>
                <w:rFonts w:ascii="Aptos" w:eastAsia="Aptos" w:hAnsi="Aptos" w:cs="Aptos"/>
                <w:color w:val="7C7C81"/>
              </w:rPr>
              <w:t>[Date]</w:t>
            </w:r>
          </w:p>
        </w:tc>
      </w:tr>
      <w:tr w:rsidR="00915A05" w14:paraId="24E22ADE"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B7F4BA3" w14:textId="77777777" w:rsidR="00915A05" w:rsidRPr="00D202F7" w:rsidRDefault="00915A05" w:rsidP="00F6572F">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D857B91" w14:textId="77777777" w:rsidR="00915A05" w:rsidRPr="00BB5C44" w:rsidRDefault="00915A05" w:rsidP="00F6572F">
            <w:pPr>
              <w:rPr>
                <w:rFonts w:ascii="Aptos" w:eastAsia="Aptos" w:hAnsi="Aptos" w:cs="Aptos"/>
                <w:color w:val="7C7C81"/>
              </w:rPr>
            </w:pPr>
            <w:r>
              <w:rPr>
                <w:rFonts w:ascii="Aptos" w:eastAsia="Aptos" w:hAnsi="Aptos" w:cs="Aptos"/>
                <w:color w:val="7C7C81"/>
              </w:rPr>
              <w:t>[Date - recommend annual review]</w:t>
            </w:r>
          </w:p>
        </w:tc>
      </w:tr>
      <w:tr w:rsidR="00915A05" w14:paraId="6C109A77"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3933B2D" w14:textId="77777777" w:rsidR="00915A05" w:rsidRPr="00D202F7" w:rsidRDefault="00915A05" w:rsidP="00F6572F">
            <w:pPr>
              <w:rPr>
                <w:rFonts w:ascii="Aptos" w:eastAsia="Aptos" w:hAnsi="Aptos" w:cs="Aptos"/>
                <w:b/>
                <w:bCs/>
                <w:color w:val="FFFFFF" w:themeColor="background1"/>
              </w:rPr>
            </w:pPr>
            <w:r w:rsidRPr="00D202F7">
              <w:rPr>
                <w:rFonts w:ascii="Aptos" w:eastAsia="Aptos" w:hAnsi="Aptos" w:cs="Aptos"/>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251ED7D" w14:textId="77777777" w:rsidR="00915A05" w:rsidRPr="00BB5C44" w:rsidRDefault="00915A05" w:rsidP="00F6572F">
            <w:pPr>
              <w:rPr>
                <w:rFonts w:ascii="Aptos" w:eastAsia="Aptos" w:hAnsi="Aptos" w:cs="Aptos"/>
                <w:color w:val="7C7C81"/>
              </w:rPr>
            </w:pPr>
            <w:r>
              <w:rPr>
                <w:rFonts w:ascii="Aptos" w:eastAsia="Aptos" w:hAnsi="Aptos" w:cs="Aptos"/>
                <w:color w:val="7C7C81"/>
              </w:rPr>
              <w:t>HR / Senior Management</w:t>
            </w:r>
          </w:p>
        </w:tc>
      </w:tr>
      <w:tr w:rsidR="00915A05" w14:paraId="32B5AD10"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402C110" w14:textId="77777777" w:rsidR="00915A05" w:rsidRPr="00D202F7" w:rsidRDefault="00915A05" w:rsidP="00F6572F">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8B56A24" w14:textId="5E6990B3" w:rsidR="00915A05" w:rsidRPr="00BB5C44" w:rsidRDefault="00915A05" w:rsidP="00F6572F">
            <w:pPr>
              <w:rPr>
                <w:rFonts w:ascii="Aptos" w:eastAsia="Aptos" w:hAnsi="Aptos" w:cs="Aptos"/>
                <w:color w:val="7C7C81"/>
              </w:rPr>
            </w:pPr>
            <w:r>
              <w:rPr>
                <w:rFonts w:ascii="Aptos" w:eastAsia="Aptos" w:hAnsi="Aptos" w:cs="Aptos"/>
                <w:color w:val="7C7C81"/>
              </w:rPr>
              <w:t xml:space="preserve">All employees - with </w:t>
            </w:r>
            <w:proofErr w:type="gramStart"/>
            <w:r>
              <w:rPr>
                <w:rFonts w:ascii="Aptos" w:eastAsia="Aptos" w:hAnsi="Aptos" w:cs="Aptos"/>
                <w:color w:val="7C7C81"/>
              </w:rPr>
              <w:t>particular relevance</w:t>
            </w:r>
            <w:proofErr w:type="gramEnd"/>
            <w:r>
              <w:rPr>
                <w:rFonts w:ascii="Aptos" w:eastAsia="Aptos" w:hAnsi="Aptos" w:cs="Aptos"/>
                <w:color w:val="7C7C81"/>
              </w:rPr>
              <w:t xml:space="preserve"> to those experiencing menopause</w:t>
            </w:r>
          </w:p>
        </w:tc>
      </w:tr>
    </w:tbl>
    <w:p w14:paraId="075211F4" w14:textId="77777777" w:rsidR="00915A05" w:rsidRDefault="00915A05" w:rsidP="000F7C9B">
      <w:pPr>
        <w:spacing w:after="160" w:line="264" w:lineRule="auto"/>
      </w:pPr>
    </w:p>
    <w:p w14:paraId="2FF8BA5C" w14:textId="77777777" w:rsidR="003410D5" w:rsidRDefault="001F710F">
      <w:pPr>
        <w:pBdr>
          <w:left w:val="single" w:sz="18" w:space="10" w:color="F29D22"/>
        </w:pBdr>
        <w:spacing w:line="264" w:lineRule="auto"/>
        <w:ind w:left="260"/>
      </w:pPr>
      <w:r>
        <w:rPr>
          <w:rFonts w:ascii="Aptos" w:eastAsia="Aptos" w:hAnsi="Aptos" w:cs="Aptos"/>
          <w:color w:val="7C7C81"/>
        </w:rPr>
        <w:t>[This policy template is provided for guidance. Adapt it to reflect your organisation's specific culture, resources and workforce before adoption. We recommend taking HR advice prior to implementation. This document does not constitute legal advice.]</w:t>
      </w:r>
    </w:p>
    <w:p w14:paraId="2FF8BA5D" w14:textId="77777777" w:rsidR="003410D5" w:rsidRDefault="001F710F">
      <w:pPr>
        <w:keepNext/>
        <w:keepLines/>
        <w:spacing w:before="200" w:after="40"/>
      </w:pPr>
      <w:r>
        <w:rPr>
          <w:rFonts w:ascii="Aptos" w:eastAsia="Aptos" w:hAnsi="Aptos" w:cs="Aptos"/>
          <w:b/>
          <w:bCs/>
          <w:color w:val="F29D22"/>
          <w:spacing w:val="20"/>
        </w:rPr>
        <w:t>SECTION 01</w:t>
      </w:r>
    </w:p>
    <w:p w14:paraId="2FF8BA5E" w14:textId="77777777" w:rsidR="003410D5" w:rsidRDefault="001F710F">
      <w:pPr>
        <w:keepNext/>
        <w:keepLines/>
      </w:pPr>
      <w:r>
        <w:rPr>
          <w:rFonts w:ascii="Aptos" w:eastAsia="Aptos" w:hAnsi="Aptos" w:cs="Aptos"/>
          <w:b/>
          <w:bCs/>
          <w:color w:val="7C7C81"/>
          <w:sz w:val="24"/>
          <w:szCs w:val="24"/>
        </w:rPr>
        <w:t>Policy Statement and Purpose</w:t>
      </w:r>
    </w:p>
    <w:p w14:paraId="2FF8BA5F" w14:textId="77777777" w:rsidR="003410D5" w:rsidRDefault="003410D5">
      <w:pPr>
        <w:keepNext/>
        <w:pBdr>
          <w:bottom w:val="single" w:sz="6" w:space="1" w:color="B9B8B9"/>
        </w:pBdr>
        <w:spacing w:after="120"/>
      </w:pPr>
    </w:p>
    <w:p w14:paraId="2FF8BA60" w14:textId="77777777" w:rsidR="003410D5" w:rsidRDefault="001F710F">
      <w:pPr>
        <w:spacing w:after="160" w:line="264" w:lineRule="auto"/>
      </w:pPr>
      <w:r>
        <w:rPr>
          <w:rFonts w:ascii="Aptos" w:eastAsia="Aptos" w:hAnsi="Aptos" w:cs="Aptos"/>
          <w:color w:val="7C7C81"/>
        </w:rPr>
        <w:t>[Organisation Name] is committed to creating an inclusive, supportive and equitable workplace for all employees. We recognise that the menopause is a natural stage of life that can significantly affect the health, wellbeing and working lives of many of our employees - and that without the right support, menopausal symptoms can cause unnecessary distress, affect performance and ultimately contribute to employees leaving work before they are ready to do so.</w:t>
      </w:r>
    </w:p>
    <w:p w14:paraId="2FF8BA61" w14:textId="77777777" w:rsidR="003410D5" w:rsidRDefault="001F710F">
      <w:pPr>
        <w:spacing w:after="160" w:line="264" w:lineRule="auto"/>
      </w:pPr>
      <w:r>
        <w:rPr>
          <w:rFonts w:ascii="Aptos" w:eastAsia="Aptos" w:hAnsi="Aptos" w:cs="Aptos"/>
          <w:color w:val="7C7C81"/>
        </w:rPr>
        <w:t>This policy sets out our commitment to providing a workplace environment in which employees experiencing perimenopause, menopause or post-menopause feel able to speak openly, access appropriate support and continue to thrive at work. It applies to all employees and to all managers, who play a critical role in creating a psychologically safe environment in which these conversations can happen.</w:t>
      </w:r>
    </w:p>
    <w:p w14:paraId="2FF8BA62" w14:textId="77777777" w:rsidR="003410D5" w:rsidRDefault="001F710F">
      <w:pPr>
        <w:spacing w:after="160" w:line="264" w:lineRule="auto"/>
      </w:pPr>
      <w:r>
        <w:rPr>
          <w:rFonts w:ascii="Aptos" w:eastAsia="Aptos" w:hAnsi="Aptos" w:cs="Aptos"/>
          <w:color w:val="7C7C81"/>
        </w:rPr>
        <w:t>This policy does not form part of any employee's contract of employment and may be amended from time to time.</w:t>
      </w:r>
    </w:p>
    <w:p w14:paraId="41B2BCB2" w14:textId="77777777" w:rsidR="000F7C9B" w:rsidRDefault="000F7C9B">
      <w:pPr>
        <w:rPr>
          <w:rFonts w:ascii="Aptos" w:eastAsia="Aptos" w:hAnsi="Aptos" w:cs="Aptos"/>
          <w:b/>
          <w:bCs/>
          <w:color w:val="F29D22"/>
          <w:spacing w:val="20"/>
        </w:rPr>
      </w:pPr>
      <w:r>
        <w:rPr>
          <w:rFonts w:ascii="Aptos" w:eastAsia="Aptos" w:hAnsi="Aptos" w:cs="Aptos"/>
          <w:b/>
          <w:bCs/>
          <w:color w:val="F29D22"/>
          <w:spacing w:val="20"/>
        </w:rPr>
        <w:br w:type="page"/>
      </w:r>
    </w:p>
    <w:p w14:paraId="2FF8BA63" w14:textId="0728C24D" w:rsidR="003410D5" w:rsidRDefault="001F710F">
      <w:pPr>
        <w:keepNext/>
        <w:keepLines/>
        <w:spacing w:before="200" w:after="40"/>
      </w:pPr>
      <w:r>
        <w:rPr>
          <w:rFonts w:ascii="Aptos" w:eastAsia="Aptos" w:hAnsi="Aptos" w:cs="Aptos"/>
          <w:b/>
          <w:bCs/>
          <w:color w:val="F29D22"/>
          <w:spacing w:val="20"/>
        </w:rPr>
        <w:lastRenderedPageBreak/>
        <w:t>SECTION 02</w:t>
      </w:r>
    </w:p>
    <w:p w14:paraId="2FF8BA64" w14:textId="77777777" w:rsidR="003410D5" w:rsidRDefault="001F710F">
      <w:pPr>
        <w:keepNext/>
        <w:keepLines/>
      </w:pPr>
      <w:r>
        <w:rPr>
          <w:rFonts w:ascii="Aptos" w:eastAsia="Aptos" w:hAnsi="Aptos" w:cs="Aptos"/>
          <w:b/>
          <w:bCs/>
          <w:color w:val="7C7C81"/>
          <w:sz w:val="24"/>
          <w:szCs w:val="24"/>
        </w:rPr>
        <w:t>Who Does This Policy Apply To?</w:t>
      </w:r>
    </w:p>
    <w:p w14:paraId="2FF8BA65" w14:textId="77777777" w:rsidR="003410D5" w:rsidRDefault="003410D5">
      <w:pPr>
        <w:keepNext/>
        <w:pBdr>
          <w:bottom w:val="single" w:sz="6" w:space="1" w:color="B9B8B9"/>
        </w:pBdr>
        <w:spacing w:after="120"/>
      </w:pPr>
    </w:p>
    <w:p w14:paraId="2FF8BA66" w14:textId="77777777" w:rsidR="003410D5" w:rsidRDefault="001F710F">
      <w:pPr>
        <w:spacing w:after="160" w:line="264" w:lineRule="auto"/>
      </w:pPr>
      <w:r>
        <w:rPr>
          <w:rFonts w:ascii="Aptos" w:eastAsia="Aptos" w:hAnsi="Aptos" w:cs="Aptos"/>
          <w:color w:val="7C7C81"/>
        </w:rPr>
        <w:t xml:space="preserve">Menopause is a natural biological process, typically occurring between the ages of 45 and 55, though it can occur earlier - including </w:t>
      </w:r>
      <w:proofErr w:type="gramStart"/>
      <w:r>
        <w:rPr>
          <w:rFonts w:ascii="Aptos" w:eastAsia="Aptos" w:hAnsi="Aptos" w:cs="Aptos"/>
          <w:color w:val="7C7C81"/>
        </w:rPr>
        <w:t>as a result of</w:t>
      </w:r>
      <w:proofErr w:type="gramEnd"/>
      <w:r>
        <w:rPr>
          <w:rFonts w:ascii="Aptos" w:eastAsia="Aptos" w:hAnsi="Aptos" w:cs="Aptos"/>
          <w:color w:val="7C7C81"/>
        </w:rPr>
        <w:t xml:space="preserve"> surgery, medical treatment or premature ovarian insufficiency. The impact of menopausal symptoms varies significantly between individuals and can be profoundly disruptive for some people.</w:t>
      </w:r>
    </w:p>
    <w:p w14:paraId="2FF8BA67" w14:textId="77777777" w:rsidR="003410D5" w:rsidRDefault="001F710F">
      <w:pPr>
        <w:spacing w:after="160" w:line="264" w:lineRule="auto"/>
      </w:pPr>
      <w:r>
        <w:rPr>
          <w:rFonts w:ascii="Aptos" w:eastAsia="Aptos" w:hAnsi="Aptos" w:cs="Aptos"/>
          <w:color w:val="7C7C81"/>
        </w:rPr>
        <w:t>This policy applies to all employees who are experiencing perimenopause, menopause or post-menopause, regardless of age. It also applies to employees who are supporting a partner, family member or colleague through the menopause, and to all managers who have responsibility for supporting their teams.</w:t>
      </w:r>
    </w:p>
    <w:p w14:paraId="2FF8BA68" w14:textId="77777777" w:rsidR="003410D5" w:rsidRDefault="001F710F">
      <w:pPr>
        <w:spacing w:after="160" w:line="264" w:lineRule="auto"/>
      </w:pPr>
      <w:r>
        <w:rPr>
          <w:rFonts w:ascii="Aptos" w:eastAsia="Aptos" w:hAnsi="Aptos" w:cs="Aptos"/>
          <w:color w:val="7C7C81"/>
        </w:rPr>
        <w:t>We recognise that the menopause affects not only cisgender women but also some transgender men, non-binary individuals and others. This policy is designed to be inclusive of all employees who may experience menopausal symptoms, regardless of gender identity.</w:t>
      </w:r>
    </w:p>
    <w:p w14:paraId="2FF8BA69" w14:textId="77777777" w:rsidR="003410D5" w:rsidRDefault="001F710F">
      <w:pPr>
        <w:keepNext/>
        <w:keepLines/>
        <w:spacing w:before="200" w:after="40"/>
      </w:pPr>
      <w:r>
        <w:rPr>
          <w:rFonts w:ascii="Aptos" w:eastAsia="Aptos" w:hAnsi="Aptos" w:cs="Aptos"/>
          <w:b/>
          <w:bCs/>
          <w:color w:val="F29D22"/>
          <w:spacing w:val="20"/>
        </w:rPr>
        <w:t>SECTION 03</w:t>
      </w:r>
    </w:p>
    <w:p w14:paraId="2FF8BA6A" w14:textId="77777777" w:rsidR="003410D5" w:rsidRDefault="001F710F">
      <w:pPr>
        <w:keepNext/>
        <w:keepLines/>
      </w:pPr>
      <w:r>
        <w:rPr>
          <w:rFonts w:ascii="Aptos" w:eastAsia="Aptos" w:hAnsi="Aptos" w:cs="Aptos"/>
          <w:b/>
          <w:bCs/>
          <w:color w:val="7C7C81"/>
          <w:sz w:val="24"/>
          <w:szCs w:val="24"/>
        </w:rPr>
        <w:t>The Legal Framework</w:t>
      </w:r>
    </w:p>
    <w:p w14:paraId="2FF8BA6B" w14:textId="77777777" w:rsidR="003410D5" w:rsidRDefault="003410D5">
      <w:pPr>
        <w:keepNext/>
        <w:pBdr>
          <w:bottom w:val="single" w:sz="6" w:space="1" w:color="B9B8B9"/>
        </w:pBdr>
        <w:spacing w:after="120"/>
      </w:pPr>
    </w:p>
    <w:p w14:paraId="2FF8BA6C" w14:textId="77777777" w:rsidR="003410D5" w:rsidRDefault="001F710F">
      <w:pPr>
        <w:spacing w:after="160" w:line="264" w:lineRule="auto"/>
      </w:pPr>
      <w:r>
        <w:rPr>
          <w:rFonts w:ascii="Aptos" w:eastAsia="Aptos" w:hAnsi="Aptos" w:cs="Aptos"/>
          <w:color w:val="7C7C81"/>
        </w:rPr>
        <w:t xml:space="preserve">Employers have </w:t>
      </w:r>
      <w:proofErr w:type="gramStart"/>
      <w:r>
        <w:rPr>
          <w:rFonts w:ascii="Aptos" w:eastAsia="Aptos" w:hAnsi="Aptos" w:cs="Aptos"/>
          <w:color w:val="7C7C81"/>
        </w:rPr>
        <w:t>a number of</w:t>
      </w:r>
      <w:proofErr w:type="gramEnd"/>
      <w:r>
        <w:rPr>
          <w:rFonts w:ascii="Aptos" w:eastAsia="Aptos" w:hAnsi="Aptos" w:cs="Aptos"/>
          <w:color w:val="7C7C81"/>
        </w:rPr>
        <w:t xml:space="preserve"> legal obligations that are relevant to supporting employees through the menopause. Failure to support employees adequately may give rise to claims under the following legislation:</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1841"/>
        <w:gridCol w:w="7787"/>
      </w:tblGrid>
      <w:tr w:rsidR="003410D5" w:rsidRPr="000949F9" w14:paraId="2FF8BA6F" w14:textId="77777777" w:rsidTr="000949F9">
        <w:trPr>
          <w:cantSplit/>
          <w:tblHeader/>
        </w:trPr>
        <w:tc>
          <w:tcPr>
            <w:tcW w:w="956" w:type="pct"/>
            <w:shd w:val="clear" w:color="auto" w:fill="F29D22"/>
            <w:tcMar>
              <w:top w:w="90" w:type="dxa"/>
              <w:left w:w="0" w:type="dxa"/>
              <w:bottom w:w="90" w:type="dxa"/>
              <w:right w:w="120" w:type="dxa"/>
            </w:tcMar>
          </w:tcPr>
          <w:p w14:paraId="2FF8BA6D" w14:textId="77777777" w:rsidR="003410D5" w:rsidRPr="000949F9" w:rsidRDefault="001F710F" w:rsidP="000949F9">
            <w:pPr>
              <w:jc w:val="center"/>
              <w:rPr>
                <w:color w:val="FFFFFF" w:themeColor="background1"/>
              </w:rPr>
            </w:pPr>
            <w:r w:rsidRPr="000949F9">
              <w:rPr>
                <w:rFonts w:ascii="Aptos" w:eastAsia="Aptos" w:hAnsi="Aptos" w:cs="Aptos"/>
                <w:b/>
                <w:bCs/>
                <w:color w:val="FFFFFF" w:themeColor="background1"/>
                <w:spacing w:val="6"/>
                <w:sz w:val="18"/>
                <w:szCs w:val="18"/>
              </w:rPr>
              <w:t>LEGISLATION</w:t>
            </w:r>
          </w:p>
        </w:tc>
        <w:tc>
          <w:tcPr>
            <w:tcW w:w="4044" w:type="pct"/>
            <w:shd w:val="clear" w:color="auto" w:fill="F29D22"/>
            <w:tcMar>
              <w:top w:w="90" w:type="dxa"/>
              <w:left w:w="120" w:type="dxa"/>
              <w:bottom w:w="90" w:type="dxa"/>
              <w:right w:w="120" w:type="dxa"/>
            </w:tcMar>
          </w:tcPr>
          <w:p w14:paraId="2FF8BA6E" w14:textId="77777777" w:rsidR="003410D5" w:rsidRPr="000949F9" w:rsidRDefault="001F710F" w:rsidP="000949F9">
            <w:pPr>
              <w:jc w:val="center"/>
              <w:rPr>
                <w:color w:val="FFFFFF" w:themeColor="background1"/>
              </w:rPr>
            </w:pPr>
            <w:r w:rsidRPr="000949F9">
              <w:rPr>
                <w:rFonts w:ascii="Aptos" w:eastAsia="Aptos" w:hAnsi="Aptos" w:cs="Aptos"/>
                <w:b/>
                <w:bCs/>
                <w:color w:val="FFFFFF" w:themeColor="background1"/>
                <w:spacing w:val="6"/>
                <w:sz w:val="18"/>
                <w:szCs w:val="18"/>
              </w:rPr>
              <w:t>RELEVANCE</w:t>
            </w:r>
          </w:p>
        </w:tc>
      </w:tr>
      <w:tr w:rsidR="003410D5" w14:paraId="2FF8BA72" w14:textId="77777777" w:rsidTr="000949F9">
        <w:trPr>
          <w:cantSplit/>
        </w:trPr>
        <w:tc>
          <w:tcPr>
            <w:tcW w:w="956" w:type="pct"/>
            <w:tcMar>
              <w:top w:w="110" w:type="dxa"/>
              <w:left w:w="0" w:type="dxa"/>
              <w:bottom w:w="110" w:type="dxa"/>
              <w:right w:w="120" w:type="dxa"/>
            </w:tcMar>
          </w:tcPr>
          <w:p w14:paraId="2FF8BA70" w14:textId="77777777" w:rsidR="003410D5" w:rsidRDefault="001F710F">
            <w:r>
              <w:rPr>
                <w:rFonts w:ascii="Aptos" w:eastAsia="Aptos" w:hAnsi="Aptos" w:cs="Aptos"/>
                <w:b/>
                <w:bCs/>
                <w:color w:val="7C7C81"/>
              </w:rPr>
              <w:t>Equality Act 2010</w:t>
            </w:r>
          </w:p>
        </w:tc>
        <w:tc>
          <w:tcPr>
            <w:tcW w:w="4044" w:type="pct"/>
            <w:tcMar>
              <w:top w:w="110" w:type="dxa"/>
              <w:left w:w="120" w:type="dxa"/>
              <w:bottom w:w="110" w:type="dxa"/>
              <w:right w:w="120" w:type="dxa"/>
            </w:tcMar>
          </w:tcPr>
          <w:p w14:paraId="2FF8BA71" w14:textId="77777777" w:rsidR="003410D5" w:rsidRDefault="001F710F">
            <w:r>
              <w:rPr>
                <w:rFonts w:ascii="Aptos" w:eastAsia="Aptos" w:hAnsi="Aptos" w:cs="Aptos"/>
                <w:color w:val="7C7C81"/>
              </w:rPr>
              <w:t>Menopausal symptoms may constitute a disability if they have a substantial and long-term adverse effect on the ability to carry out normal day-to-day activities. In such cases, the employer has a duty to make reasonable adjustments. Sex, age and disability are all protected characteristics - treatment that is less favourable due to menopause may constitute discrimination on one or more of these grounds.</w:t>
            </w:r>
          </w:p>
        </w:tc>
      </w:tr>
      <w:tr w:rsidR="003410D5" w14:paraId="2FF8BA75" w14:textId="77777777" w:rsidTr="000949F9">
        <w:trPr>
          <w:cantSplit/>
        </w:trPr>
        <w:tc>
          <w:tcPr>
            <w:tcW w:w="956" w:type="pct"/>
            <w:tcMar>
              <w:top w:w="110" w:type="dxa"/>
              <w:left w:w="0" w:type="dxa"/>
              <w:bottom w:w="110" w:type="dxa"/>
              <w:right w:w="120" w:type="dxa"/>
            </w:tcMar>
          </w:tcPr>
          <w:p w14:paraId="2FF8BA73" w14:textId="77777777" w:rsidR="003410D5" w:rsidRDefault="001F710F">
            <w:r>
              <w:rPr>
                <w:rFonts w:ascii="Aptos" w:eastAsia="Aptos" w:hAnsi="Aptos" w:cs="Aptos"/>
                <w:b/>
                <w:bCs/>
                <w:color w:val="7C7C81"/>
              </w:rPr>
              <w:t>Health and Safety at Work Act 1974</w:t>
            </w:r>
          </w:p>
        </w:tc>
        <w:tc>
          <w:tcPr>
            <w:tcW w:w="4044" w:type="pct"/>
            <w:tcMar>
              <w:top w:w="110" w:type="dxa"/>
              <w:left w:w="120" w:type="dxa"/>
              <w:bottom w:w="110" w:type="dxa"/>
              <w:right w:w="120" w:type="dxa"/>
            </w:tcMar>
          </w:tcPr>
          <w:p w14:paraId="2FF8BA74" w14:textId="77777777" w:rsidR="003410D5" w:rsidRDefault="001F710F">
            <w:r>
              <w:rPr>
                <w:rFonts w:ascii="Aptos" w:eastAsia="Aptos" w:hAnsi="Aptos" w:cs="Aptos"/>
                <w:color w:val="7C7C81"/>
              </w:rPr>
              <w:t xml:space="preserve">Employers must ensure, so far as reasonably practicable, the health, safety and welfare of all employees. This includes carrying out suitable risk assessments that </w:t>
            </w:r>
            <w:proofErr w:type="gramStart"/>
            <w:r>
              <w:rPr>
                <w:rFonts w:ascii="Aptos" w:eastAsia="Aptos" w:hAnsi="Aptos" w:cs="Aptos"/>
                <w:color w:val="7C7C81"/>
              </w:rPr>
              <w:t>take into account</w:t>
            </w:r>
            <w:proofErr w:type="gramEnd"/>
            <w:r>
              <w:rPr>
                <w:rFonts w:ascii="Aptos" w:eastAsia="Aptos" w:hAnsi="Aptos" w:cs="Aptos"/>
                <w:color w:val="7C7C81"/>
              </w:rPr>
              <w:t xml:space="preserve"> menopausal symptoms and making appropriate adjustments to the working environment.</w:t>
            </w:r>
          </w:p>
        </w:tc>
      </w:tr>
      <w:tr w:rsidR="003410D5" w14:paraId="2FF8BA78" w14:textId="77777777" w:rsidTr="000949F9">
        <w:trPr>
          <w:cantSplit/>
        </w:trPr>
        <w:tc>
          <w:tcPr>
            <w:tcW w:w="956" w:type="pct"/>
            <w:tcMar>
              <w:top w:w="110" w:type="dxa"/>
              <w:left w:w="0" w:type="dxa"/>
              <w:bottom w:w="110" w:type="dxa"/>
              <w:right w:w="120" w:type="dxa"/>
            </w:tcMar>
          </w:tcPr>
          <w:p w14:paraId="2FF8BA76" w14:textId="77777777" w:rsidR="003410D5" w:rsidRDefault="001F710F">
            <w:r>
              <w:rPr>
                <w:rFonts w:ascii="Aptos" w:eastAsia="Aptos" w:hAnsi="Aptos" w:cs="Aptos"/>
                <w:b/>
                <w:bCs/>
                <w:color w:val="7C7C81"/>
              </w:rPr>
              <w:t>Management of Health and Safety at Work Regulations 1999</w:t>
            </w:r>
          </w:p>
        </w:tc>
        <w:tc>
          <w:tcPr>
            <w:tcW w:w="4044" w:type="pct"/>
            <w:tcMar>
              <w:top w:w="110" w:type="dxa"/>
              <w:left w:w="120" w:type="dxa"/>
              <w:bottom w:w="110" w:type="dxa"/>
              <w:right w:w="120" w:type="dxa"/>
            </w:tcMar>
          </w:tcPr>
          <w:p w14:paraId="2FF8BA77" w14:textId="77777777" w:rsidR="003410D5" w:rsidRDefault="001F710F">
            <w:r>
              <w:rPr>
                <w:rFonts w:ascii="Aptos" w:eastAsia="Aptos" w:hAnsi="Aptos" w:cs="Aptos"/>
                <w:color w:val="7C7C81"/>
              </w:rPr>
              <w:t>Requires employers to assess risks to employees' health and implement appropriate control measures - relevant where menopausal symptoms create or are exacerbated by specific working conditions.</w:t>
            </w:r>
          </w:p>
        </w:tc>
      </w:tr>
      <w:tr w:rsidR="003410D5" w14:paraId="2FF8BA7B" w14:textId="77777777" w:rsidTr="000949F9">
        <w:trPr>
          <w:cantSplit/>
        </w:trPr>
        <w:tc>
          <w:tcPr>
            <w:tcW w:w="956" w:type="pct"/>
            <w:tcMar>
              <w:top w:w="110" w:type="dxa"/>
              <w:left w:w="0" w:type="dxa"/>
              <w:bottom w:w="110" w:type="dxa"/>
              <w:right w:w="120" w:type="dxa"/>
            </w:tcMar>
          </w:tcPr>
          <w:p w14:paraId="2FF8BA79" w14:textId="77777777" w:rsidR="003410D5" w:rsidRDefault="001F710F">
            <w:r>
              <w:rPr>
                <w:rFonts w:ascii="Aptos" w:eastAsia="Aptos" w:hAnsi="Aptos" w:cs="Aptos"/>
                <w:b/>
                <w:bCs/>
                <w:color w:val="7C7C81"/>
              </w:rPr>
              <w:t>Working Time Regulations 1998</w:t>
            </w:r>
          </w:p>
        </w:tc>
        <w:tc>
          <w:tcPr>
            <w:tcW w:w="4044" w:type="pct"/>
            <w:tcMar>
              <w:top w:w="110" w:type="dxa"/>
              <w:left w:w="120" w:type="dxa"/>
              <w:bottom w:w="110" w:type="dxa"/>
              <w:right w:w="120" w:type="dxa"/>
            </w:tcMar>
          </w:tcPr>
          <w:p w14:paraId="2FF8BA7A" w14:textId="77777777" w:rsidR="003410D5" w:rsidRDefault="001F710F">
            <w:r>
              <w:rPr>
                <w:rFonts w:ascii="Aptos" w:eastAsia="Aptos" w:hAnsi="Aptos" w:cs="Aptos"/>
                <w:color w:val="7C7C81"/>
              </w:rPr>
              <w:t>Rest breaks and flexible working arrangements may be particularly relevant in supporting employees experiencing menopausal symptoms.</w:t>
            </w:r>
          </w:p>
        </w:tc>
      </w:tr>
      <w:tr w:rsidR="003410D5" w14:paraId="2FF8BA7E" w14:textId="77777777" w:rsidTr="000949F9">
        <w:trPr>
          <w:cantSplit/>
        </w:trPr>
        <w:tc>
          <w:tcPr>
            <w:tcW w:w="956" w:type="pct"/>
            <w:tcMar>
              <w:top w:w="110" w:type="dxa"/>
              <w:left w:w="0" w:type="dxa"/>
              <w:bottom w:w="110" w:type="dxa"/>
              <w:right w:w="120" w:type="dxa"/>
            </w:tcMar>
          </w:tcPr>
          <w:p w14:paraId="2FF8BA7C" w14:textId="77777777" w:rsidR="003410D5" w:rsidRDefault="001F710F">
            <w:r>
              <w:rPr>
                <w:rFonts w:ascii="Aptos" w:eastAsia="Aptos" w:hAnsi="Aptos" w:cs="Aptos"/>
                <w:b/>
                <w:bCs/>
                <w:color w:val="7C7C81"/>
              </w:rPr>
              <w:t>Employment Rights Act 1996</w:t>
            </w:r>
          </w:p>
        </w:tc>
        <w:tc>
          <w:tcPr>
            <w:tcW w:w="4044" w:type="pct"/>
            <w:tcMar>
              <w:top w:w="110" w:type="dxa"/>
              <w:left w:w="120" w:type="dxa"/>
              <w:bottom w:w="110" w:type="dxa"/>
              <w:right w:w="120" w:type="dxa"/>
            </w:tcMar>
          </w:tcPr>
          <w:p w14:paraId="2FF8BA7D" w14:textId="77777777" w:rsidR="003410D5" w:rsidRDefault="001F710F">
            <w:r>
              <w:rPr>
                <w:rFonts w:ascii="Aptos" w:eastAsia="Aptos" w:hAnsi="Aptos" w:cs="Aptos"/>
                <w:color w:val="7C7C81"/>
              </w:rPr>
              <w:t>Employees must not be treated detrimentally or dismissed in connection with a health condition related to the menopause. Constructive dismissal claims may arise where an employer fails to provide adequate support.</w:t>
            </w:r>
          </w:p>
        </w:tc>
      </w:tr>
    </w:tbl>
    <w:p w14:paraId="2FF8BA7F" w14:textId="77777777" w:rsidR="003410D5" w:rsidRDefault="001F710F">
      <w:pPr>
        <w:keepNext/>
        <w:keepLines/>
        <w:spacing w:before="200" w:after="40"/>
      </w:pPr>
      <w:r>
        <w:rPr>
          <w:rFonts w:ascii="Aptos" w:eastAsia="Aptos" w:hAnsi="Aptos" w:cs="Aptos"/>
          <w:b/>
          <w:bCs/>
          <w:color w:val="F29D22"/>
          <w:spacing w:val="20"/>
        </w:rPr>
        <w:lastRenderedPageBreak/>
        <w:t>SECTION 04</w:t>
      </w:r>
    </w:p>
    <w:p w14:paraId="2FF8BA80" w14:textId="77777777" w:rsidR="003410D5" w:rsidRDefault="001F710F">
      <w:pPr>
        <w:keepNext/>
        <w:keepLines/>
      </w:pPr>
      <w:r>
        <w:rPr>
          <w:rFonts w:ascii="Aptos" w:eastAsia="Aptos" w:hAnsi="Aptos" w:cs="Aptos"/>
          <w:b/>
          <w:bCs/>
          <w:color w:val="7C7C81"/>
          <w:sz w:val="24"/>
          <w:szCs w:val="24"/>
        </w:rPr>
        <w:t>Understanding Menopausal Symptoms</w:t>
      </w:r>
    </w:p>
    <w:p w14:paraId="2FF8BA81" w14:textId="77777777" w:rsidR="003410D5" w:rsidRDefault="003410D5" w:rsidP="00195A34">
      <w:pPr>
        <w:keepNext/>
        <w:pBdr>
          <w:bottom w:val="single" w:sz="6" w:space="1" w:color="B9B8B9"/>
        </w:pBdr>
        <w:spacing w:after="60"/>
      </w:pPr>
    </w:p>
    <w:p w14:paraId="2FF8BA82" w14:textId="77777777" w:rsidR="003410D5" w:rsidRDefault="001F710F">
      <w:pPr>
        <w:spacing w:after="160" w:line="264" w:lineRule="auto"/>
      </w:pPr>
      <w:r>
        <w:rPr>
          <w:rFonts w:ascii="Aptos" w:eastAsia="Aptos" w:hAnsi="Aptos" w:cs="Aptos"/>
          <w:color w:val="7C7C81"/>
        </w:rPr>
        <w:t>Menopausal symptoms vary significantly in type, severity and duration. Some employees experience mild symptoms for a short period; others experience severe, debilitating symptoms for many years. Understanding the range and nature of symptoms is essential for managers to provide effective support.</w:t>
      </w:r>
    </w:p>
    <w:tbl>
      <w:tblPr>
        <w:tblW w:w="5000" w:type="pct"/>
        <w:tblCellMar>
          <w:left w:w="10" w:type="dxa"/>
          <w:right w:w="10" w:type="dxa"/>
        </w:tblCellMar>
        <w:tblLook w:val="04A0" w:firstRow="1" w:lastRow="0" w:firstColumn="1" w:lastColumn="0" w:noHBand="0" w:noVBand="1"/>
      </w:tblPr>
      <w:tblGrid>
        <w:gridCol w:w="2695"/>
        <w:gridCol w:w="6943"/>
      </w:tblGrid>
      <w:tr w:rsidR="003410D5" w14:paraId="2FF8BA8C" w14:textId="77777777" w:rsidTr="000A0EFC">
        <w:trPr>
          <w:cantSplit/>
        </w:trPr>
        <w:tc>
          <w:tcPr>
            <w:tcW w:w="1398" w:type="pct"/>
            <w:tcBorders>
              <w:bottom w:val="single" w:sz="4" w:space="0" w:color="E1E0DE"/>
            </w:tcBorders>
            <w:tcMar>
              <w:top w:w="120" w:type="dxa"/>
              <w:left w:w="0" w:type="dxa"/>
              <w:bottom w:w="120" w:type="dxa"/>
              <w:right w:w="160" w:type="dxa"/>
            </w:tcMar>
          </w:tcPr>
          <w:p w14:paraId="2FF8BA83" w14:textId="77777777" w:rsidR="003410D5" w:rsidRDefault="001F710F">
            <w:pPr>
              <w:spacing w:after="40" w:line="244" w:lineRule="auto"/>
            </w:pPr>
            <w:r>
              <w:rPr>
                <w:rFonts w:ascii="Aptos" w:eastAsia="Aptos" w:hAnsi="Aptos" w:cs="Aptos"/>
                <w:color w:val="7C7C81"/>
              </w:rPr>
              <w:t>Physical symptoms</w:t>
            </w:r>
          </w:p>
        </w:tc>
        <w:tc>
          <w:tcPr>
            <w:tcW w:w="3602" w:type="pct"/>
            <w:tcBorders>
              <w:bottom w:val="single" w:sz="4" w:space="0" w:color="E1E0DE"/>
            </w:tcBorders>
            <w:tcMar>
              <w:top w:w="120" w:type="dxa"/>
              <w:left w:w="160" w:type="dxa"/>
              <w:bottom w:w="120" w:type="dxa"/>
              <w:right w:w="160" w:type="dxa"/>
            </w:tcMar>
          </w:tcPr>
          <w:p w14:paraId="2FF8BA84" w14:textId="63CBD3E8"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Hot flushes and night sweats</w:t>
            </w:r>
          </w:p>
          <w:p w14:paraId="2FF8BA85" w14:textId="5516A015"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Sleep disturbance and fatigue</w:t>
            </w:r>
          </w:p>
          <w:p w14:paraId="2FF8BA86" w14:textId="35CE0C2F"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Headaches and migraines</w:t>
            </w:r>
          </w:p>
          <w:p w14:paraId="2FF8BA87" w14:textId="36FF0184"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Joint pain and muscle aches</w:t>
            </w:r>
          </w:p>
          <w:p w14:paraId="2FF8BA88" w14:textId="7F0021FE"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Heart palpitations</w:t>
            </w:r>
          </w:p>
          <w:p w14:paraId="2FF8BA89" w14:textId="7E691FBD"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Changes to bladder function</w:t>
            </w:r>
          </w:p>
          <w:p w14:paraId="2FF8BA8A" w14:textId="170B8501"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Irregular or heavy periods</w:t>
            </w:r>
          </w:p>
          <w:p w14:paraId="2FF8BA8B" w14:textId="2EF6417D" w:rsidR="003410D5" w:rsidRDefault="0012112D">
            <w:pPr>
              <w:spacing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Skin and hair changes</w:t>
            </w:r>
          </w:p>
        </w:tc>
      </w:tr>
      <w:tr w:rsidR="003410D5" w14:paraId="2FF8BA93" w14:textId="77777777" w:rsidTr="000A0EFC">
        <w:trPr>
          <w:cantSplit/>
        </w:trPr>
        <w:tc>
          <w:tcPr>
            <w:tcW w:w="1398" w:type="pct"/>
            <w:tcBorders>
              <w:bottom w:val="single" w:sz="4" w:space="0" w:color="E1E0DE"/>
            </w:tcBorders>
            <w:tcMar>
              <w:top w:w="120" w:type="dxa"/>
              <w:left w:w="0" w:type="dxa"/>
              <w:bottom w:w="120" w:type="dxa"/>
              <w:right w:w="160" w:type="dxa"/>
            </w:tcMar>
          </w:tcPr>
          <w:p w14:paraId="2FF8BA8D" w14:textId="77777777" w:rsidR="003410D5" w:rsidRDefault="001F710F">
            <w:pPr>
              <w:spacing w:after="40" w:line="244" w:lineRule="auto"/>
            </w:pPr>
            <w:r>
              <w:rPr>
                <w:rFonts w:ascii="Aptos" w:eastAsia="Aptos" w:hAnsi="Aptos" w:cs="Aptos"/>
                <w:color w:val="7C7C81"/>
              </w:rPr>
              <w:t>Cognitive symptoms</w:t>
            </w:r>
          </w:p>
        </w:tc>
        <w:tc>
          <w:tcPr>
            <w:tcW w:w="3602" w:type="pct"/>
            <w:tcBorders>
              <w:bottom w:val="single" w:sz="4" w:space="0" w:color="E1E0DE"/>
            </w:tcBorders>
            <w:tcMar>
              <w:top w:w="120" w:type="dxa"/>
              <w:left w:w="160" w:type="dxa"/>
              <w:bottom w:w="120" w:type="dxa"/>
              <w:right w:w="160" w:type="dxa"/>
            </w:tcMar>
          </w:tcPr>
          <w:p w14:paraId="2FF8BA8E" w14:textId="51377C1A"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Difficulty concentrating</w:t>
            </w:r>
          </w:p>
          <w:p w14:paraId="2FF8BA8F" w14:textId="2F2CF874"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Memory difficulties ("brain fog")</w:t>
            </w:r>
          </w:p>
          <w:p w14:paraId="2FF8BA90" w14:textId="3833EBE6"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Reduced ability to process information quickly</w:t>
            </w:r>
          </w:p>
          <w:p w14:paraId="2FF8BA91" w14:textId="49F6F6FC"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Word-finding difficulties</w:t>
            </w:r>
          </w:p>
          <w:p w14:paraId="2FF8BA92" w14:textId="72F2785F" w:rsidR="003410D5" w:rsidRDefault="0012112D">
            <w:pPr>
              <w:spacing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Difficulty managing multiple tasks simultaneously</w:t>
            </w:r>
          </w:p>
        </w:tc>
      </w:tr>
      <w:tr w:rsidR="003410D5" w14:paraId="2FF8BA9B" w14:textId="77777777" w:rsidTr="000A0EFC">
        <w:trPr>
          <w:cantSplit/>
        </w:trPr>
        <w:tc>
          <w:tcPr>
            <w:tcW w:w="1398" w:type="pct"/>
            <w:tcBorders>
              <w:bottom w:val="single" w:sz="4" w:space="0" w:color="E1E0DE"/>
            </w:tcBorders>
            <w:tcMar>
              <w:top w:w="120" w:type="dxa"/>
              <w:left w:w="0" w:type="dxa"/>
              <w:bottom w:w="120" w:type="dxa"/>
              <w:right w:w="160" w:type="dxa"/>
            </w:tcMar>
          </w:tcPr>
          <w:p w14:paraId="2FF8BA94" w14:textId="77777777" w:rsidR="003410D5" w:rsidRDefault="001F710F">
            <w:pPr>
              <w:spacing w:after="40" w:line="244" w:lineRule="auto"/>
            </w:pPr>
            <w:r>
              <w:rPr>
                <w:rFonts w:ascii="Aptos" w:eastAsia="Aptos" w:hAnsi="Aptos" w:cs="Aptos"/>
                <w:color w:val="7C7C81"/>
              </w:rPr>
              <w:t>Psychological and emotional symptoms</w:t>
            </w:r>
          </w:p>
        </w:tc>
        <w:tc>
          <w:tcPr>
            <w:tcW w:w="3602" w:type="pct"/>
            <w:tcBorders>
              <w:bottom w:val="single" w:sz="4" w:space="0" w:color="E1E0DE"/>
            </w:tcBorders>
            <w:tcMar>
              <w:top w:w="120" w:type="dxa"/>
              <w:left w:w="160" w:type="dxa"/>
              <w:bottom w:w="120" w:type="dxa"/>
              <w:right w:w="160" w:type="dxa"/>
            </w:tcMar>
          </w:tcPr>
          <w:p w14:paraId="2FF8BA95" w14:textId="4912CC0E"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Anxiety and low mood</w:t>
            </w:r>
          </w:p>
          <w:p w14:paraId="2FF8BA96" w14:textId="1DD3F5A8"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Irritability or mood changes</w:t>
            </w:r>
          </w:p>
          <w:p w14:paraId="2FF8BA97" w14:textId="4D0120C6"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Low self-confidence</w:t>
            </w:r>
          </w:p>
          <w:p w14:paraId="2FF8BA98" w14:textId="72DFD39E"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Reduced resilience to stress</w:t>
            </w:r>
          </w:p>
          <w:p w14:paraId="2FF8BA99" w14:textId="43724EAE" w:rsidR="003410D5" w:rsidRDefault="0012112D">
            <w:pPr>
              <w:spacing w:after="40"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Panic attacks</w:t>
            </w:r>
          </w:p>
          <w:p w14:paraId="2FF8BA9A" w14:textId="49180282" w:rsidR="000A0EFC" w:rsidRDefault="0012112D" w:rsidP="00A40507">
            <w:pPr>
              <w:spacing w:line="244" w:lineRule="auto"/>
              <w:ind w:left="200" w:hanging="20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Loss of sense of identity or purpose</w:t>
            </w:r>
          </w:p>
        </w:tc>
      </w:tr>
    </w:tbl>
    <w:p w14:paraId="5524C075" w14:textId="0C23AE5D" w:rsidR="00A40507" w:rsidRPr="00195A34" w:rsidRDefault="00A40507" w:rsidP="00A40507">
      <w:pPr>
        <w:rPr>
          <w:rFonts w:ascii="Aptos" w:eastAsia="Aptos" w:hAnsi="Aptos" w:cs="Aptos"/>
          <w:color w:val="7C7C81"/>
          <w:sz w:val="10"/>
          <w:szCs w:val="10"/>
        </w:rPr>
      </w:pPr>
    </w:p>
    <w:p w14:paraId="2FF8BA9C" w14:textId="2B660121" w:rsidR="003410D5" w:rsidRDefault="001F710F">
      <w:pPr>
        <w:pBdr>
          <w:left w:val="single" w:sz="18" w:space="10" w:color="F29D22"/>
        </w:pBdr>
        <w:spacing w:line="264" w:lineRule="auto"/>
        <w:ind w:left="260"/>
      </w:pPr>
      <w:r>
        <w:rPr>
          <w:rFonts w:ascii="Aptos" w:eastAsia="Aptos" w:hAnsi="Aptos" w:cs="Aptos"/>
          <w:color w:val="7C7C81"/>
        </w:rPr>
        <w:t>Menopausal symptoms are not a performance issue. They are a health issue. A manager who understands this distinction will respond with empathy and practical support - not performance management. Managers should avoid making assumptions about an employee's symptoms or their impact and should focus on the individual's experience.</w:t>
      </w:r>
    </w:p>
    <w:p w14:paraId="2FF8BA9D" w14:textId="77777777" w:rsidR="003410D5" w:rsidRDefault="001F710F">
      <w:pPr>
        <w:keepNext/>
        <w:keepLines/>
        <w:spacing w:before="200" w:after="40"/>
      </w:pPr>
      <w:r>
        <w:rPr>
          <w:rFonts w:ascii="Aptos" w:eastAsia="Aptos" w:hAnsi="Aptos" w:cs="Aptos"/>
          <w:b/>
          <w:bCs/>
          <w:color w:val="F29D22"/>
          <w:spacing w:val="20"/>
        </w:rPr>
        <w:t>SECTION 05</w:t>
      </w:r>
    </w:p>
    <w:p w14:paraId="2FF8BA9E" w14:textId="77777777" w:rsidR="003410D5" w:rsidRDefault="001F710F">
      <w:pPr>
        <w:keepNext/>
        <w:keepLines/>
      </w:pPr>
      <w:r>
        <w:rPr>
          <w:rFonts w:ascii="Aptos" w:eastAsia="Aptos" w:hAnsi="Aptos" w:cs="Aptos"/>
          <w:b/>
          <w:bCs/>
          <w:color w:val="7C7C81"/>
          <w:sz w:val="24"/>
          <w:szCs w:val="24"/>
        </w:rPr>
        <w:t>Our Commitments</w:t>
      </w:r>
    </w:p>
    <w:p w14:paraId="2FF8BA9F" w14:textId="77777777" w:rsidR="003410D5" w:rsidRPr="00195A34" w:rsidRDefault="003410D5" w:rsidP="005C736E">
      <w:pPr>
        <w:keepNext/>
        <w:pBdr>
          <w:bottom w:val="single" w:sz="6" w:space="1" w:color="B9B8B9"/>
        </w:pBdr>
        <w:spacing w:after="60"/>
        <w:rPr>
          <w:sz w:val="16"/>
          <w:szCs w:val="16"/>
        </w:rPr>
      </w:pPr>
    </w:p>
    <w:p w14:paraId="2FF8BAA0" w14:textId="77777777" w:rsidR="003410D5" w:rsidRDefault="001F710F">
      <w:pPr>
        <w:keepNext/>
        <w:keepLines/>
        <w:spacing w:before="220" w:after="100"/>
      </w:pPr>
      <w:r>
        <w:rPr>
          <w:rFonts w:ascii="Aptos" w:eastAsia="Aptos" w:hAnsi="Aptos" w:cs="Aptos"/>
          <w:color w:val="F29D22"/>
        </w:rPr>
        <w:t xml:space="preserve">▪ </w:t>
      </w:r>
      <w:r>
        <w:rPr>
          <w:rFonts w:ascii="Aptos" w:eastAsia="Aptos" w:hAnsi="Aptos" w:cs="Aptos"/>
          <w:b/>
          <w:bCs/>
          <w:color w:val="7C7C81"/>
        </w:rPr>
        <w:t>The Organisation Commits to</w:t>
      </w:r>
    </w:p>
    <w:p w14:paraId="2FF8BAA1" w14:textId="5D2777B3"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Taking menopausal symptoms seriously as a health and wellbeing issue that warrants active organisational support</w:t>
      </w:r>
    </w:p>
    <w:p w14:paraId="2FF8BAA2" w14:textId="6FE2342F"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Creating a culture in which employees feel safe to disclose menopausal symptoms to their manager or HR without fear of embarrassment, judgement or negative consequences</w:t>
      </w:r>
    </w:p>
    <w:p w14:paraId="2FF8BAA3" w14:textId="0D1D89DB"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Training managers to understand the menopause, recognise its potential impact and have supportive, empathetic conversations</w:t>
      </w:r>
    </w:p>
    <w:p w14:paraId="2FF8BAA4" w14:textId="0D6EAFA9"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Considering reasonable workplace adjustments promptly and sensitively where an employee requests them</w:t>
      </w:r>
    </w:p>
    <w:p w14:paraId="2FF8BAA5" w14:textId="72642184"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Treating menopausal-related absence with sensitivity and separately from general sickness absence records where appropriate</w:t>
      </w:r>
    </w:p>
    <w:p w14:paraId="2FF8BAA6" w14:textId="2D1F9E74"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Ensuring that this policy is implemented consistently and that any failure to follow it is addressed</w:t>
      </w:r>
    </w:p>
    <w:p w14:paraId="2FF8BAA7" w14:textId="16A8AB8B"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Reviewing this policy annually and measuring its effectiveness through employee feedback</w:t>
      </w:r>
    </w:p>
    <w:p w14:paraId="2FF8BAA8" w14:textId="77777777" w:rsidR="003410D5" w:rsidRDefault="001F710F">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Managers Commit to</w:t>
      </w:r>
    </w:p>
    <w:p w14:paraId="2FF8BAA9" w14:textId="57DABBD3"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Approaching menopause conversations with empathy, discretion and a genuine willingness to help</w:t>
      </w:r>
    </w:p>
    <w:p w14:paraId="2FF8BAAA" w14:textId="1098364D"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Not dismissing or minimising an employee's symptoms or their impact on work</w:t>
      </w:r>
    </w:p>
    <w:p w14:paraId="2FF8BAAB" w14:textId="3EA24DB5"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Exploring and implementing reasonable workplace adjustments without requiring the employee to justify or repeatedly re-explain their situation</w:t>
      </w:r>
    </w:p>
    <w:p w14:paraId="2FF8BAAC" w14:textId="596B13F6"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Maintaining strict confidentiality - a disclosure about menopausal symptoms must not be shared without the employee's explicit consent</w:t>
      </w:r>
    </w:p>
    <w:p w14:paraId="2FF8BAAD" w14:textId="4D641D8B"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Completing any relevant awareness or training provided by the organisation</w:t>
      </w:r>
    </w:p>
    <w:p w14:paraId="2FF8BAAE" w14:textId="49470C38"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Referring to HR where they are unsure about the appropriate course of action</w:t>
      </w:r>
    </w:p>
    <w:p w14:paraId="2FF8BAAF" w14:textId="77777777" w:rsidR="003410D5" w:rsidRDefault="001F710F">
      <w:pPr>
        <w:keepNext/>
        <w:keepLines/>
        <w:spacing w:before="220" w:after="100"/>
      </w:pPr>
      <w:r>
        <w:rPr>
          <w:rFonts w:ascii="Aptos" w:eastAsia="Aptos" w:hAnsi="Aptos" w:cs="Aptos"/>
          <w:color w:val="F29D22"/>
        </w:rPr>
        <w:t xml:space="preserve">▪ </w:t>
      </w:r>
      <w:r>
        <w:rPr>
          <w:rFonts w:ascii="Aptos" w:eastAsia="Aptos" w:hAnsi="Aptos" w:cs="Aptos"/>
          <w:b/>
          <w:bCs/>
          <w:color w:val="7C7C81"/>
        </w:rPr>
        <w:t>Employees Are Encouraged to</w:t>
      </w:r>
    </w:p>
    <w:p w14:paraId="2FF8BAB0" w14:textId="0B97F83F"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Let their manager or HR know that they are experiencing menopausal symptoms, as early as possible - early disclosure allows support to be put in place sooner</w:t>
      </w:r>
    </w:p>
    <w:p w14:paraId="2FF8BAB1" w14:textId="119C79CD"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Engage openly with the conversation and help identify what would be most useful to them</w:t>
      </w:r>
    </w:p>
    <w:p w14:paraId="2FF8BAB2" w14:textId="0FD4B03E"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Access available support resources - including the EAP, Occupational Health and any internal peer networks</w:t>
      </w:r>
    </w:p>
    <w:p w14:paraId="2FF8BAB3" w14:textId="77D4DCE1"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Tell their manager or HR if their needs change over time - symptoms can fluctuate significantly</w:t>
      </w:r>
    </w:p>
    <w:p w14:paraId="2FF8BAB4" w14:textId="77777777" w:rsidR="003410D5" w:rsidRDefault="001F710F">
      <w:pPr>
        <w:keepNext/>
        <w:keepLines/>
        <w:spacing w:before="200" w:after="40"/>
      </w:pPr>
      <w:r>
        <w:rPr>
          <w:rFonts w:ascii="Aptos" w:eastAsia="Aptos" w:hAnsi="Aptos" w:cs="Aptos"/>
          <w:b/>
          <w:bCs/>
          <w:color w:val="F29D22"/>
          <w:spacing w:val="20"/>
        </w:rPr>
        <w:t>SECTION 06</w:t>
      </w:r>
    </w:p>
    <w:p w14:paraId="2FF8BAB6" w14:textId="5C8D61F7" w:rsidR="003410D5" w:rsidRDefault="001F710F" w:rsidP="00B77EBF">
      <w:pPr>
        <w:keepNext/>
        <w:keepLines/>
      </w:pPr>
      <w:r>
        <w:rPr>
          <w:rFonts w:ascii="Aptos" w:eastAsia="Aptos" w:hAnsi="Aptos" w:cs="Aptos"/>
          <w:b/>
          <w:bCs/>
          <w:color w:val="7C7C81"/>
          <w:sz w:val="24"/>
          <w:szCs w:val="24"/>
        </w:rPr>
        <w:t>Workplace Adjustments</w:t>
      </w:r>
    </w:p>
    <w:p w14:paraId="2FF8BAB7" w14:textId="77777777" w:rsidR="003410D5" w:rsidRPr="00C544F4" w:rsidRDefault="001F710F">
      <w:pPr>
        <w:spacing w:before="150" w:after="160" w:line="264" w:lineRule="auto"/>
        <w:rPr>
          <w:sz w:val="19"/>
          <w:szCs w:val="19"/>
        </w:rPr>
      </w:pPr>
      <w:r w:rsidRPr="00C544F4">
        <w:rPr>
          <w:rFonts w:ascii="Aptos" w:eastAsia="Aptos" w:hAnsi="Aptos" w:cs="Aptos"/>
          <w:color w:val="7C7C81"/>
          <w:sz w:val="19"/>
          <w:szCs w:val="19"/>
        </w:rPr>
        <w:t>Where an employee's menopausal symptoms are affecting their ability to work comfortably and effectively, the organisation will explore and implement reasonable workplace adjustments. Adjustments will be agreed in discussion with the employee and reviewed regularly.</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1839"/>
        <w:gridCol w:w="7789"/>
      </w:tblGrid>
      <w:tr w:rsidR="003410D5" w:rsidRPr="000949F9" w14:paraId="2FF8BABA" w14:textId="77777777" w:rsidTr="000949F9">
        <w:trPr>
          <w:cantSplit/>
          <w:tblHeader/>
        </w:trPr>
        <w:tc>
          <w:tcPr>
            <w:tcW w:w="955" w:type="pct"/>
            <w:shd w:val="clear" w:color="auto" w:fill="F29D22"/>
            <w:tcMar>
              <w:top w:w="90" w:type="dxa"/>
              <w:left w:w="0" w:type="dxa"/>
              <w:bottom w:w="90" w:type="dxa"/>
              <w:right w:w="120" w:type="dxa"/>
            </w:tcMar>
          </w:tcPr>
          <w:p w14:paraId="2FF8BAB8" w14:textId="77777777" w:rsidR="003410D5" w:rsidRPr="000949F9" w:rsidRDefault="001F710F" w:rsidP="000949F9">
            <w:pPr>
              <w:jc w:val="center"/>
              <w:rPr>
                <w:color w:val="FFFFFF" w:themeColor="background1"/>
                <w:sz w:val="19"/>
                <w:szCs w:val="19"/>
              </w:rPr>
            </w:pPr>
            <w:r w:rsidRPr="000949F9">
              <w:rPr>
                <w:rFonts w:ascii="Aptos" w:eastAsia="Aptos" w:hAnsi="Aptos" w:cs="Aptos"/>
                <w:b/>
                <w:bCs/>
                <w:color w:val="FFFFFF" w:themeColor="background1"/>
                <w:spacing w:val="6"/>
                <w:sz w:val="19"/>
                <w:szCs w:val="19"/>
              </w:rPr>
              <w:t>AREA OF SUPPORT</w:t>
            </w:r>
          </w:p>
        </w:tc>
        <w:tc>
          <w:tcPr>
            <w:tcW w:w="4045" w:type="pct"/>
            <w:shd w:val="clear" w:color="auto" w:fill="F29D22"/>
            <w:tcMar>
              <w:top w:w="90" w:type="dxa"/>
              <w:left w:w="120" w:type="dxa"/>
              <w:bottom w:w="90" w:type="dxa"/>
              <w:right w:w="120" w:type="dxa"/>
            </w:tcMar>
          </w:tcPr>
          <w:p w14:paraId="2FF8BAB9" w14:textId="77777777" w:rsidR="003410D5" w:rsidRPr="000949F9" w:rsidRDefault="001F710F" w:rsidP="000949F9">
            <w:pPr>
              <w:jc w:val="center"/>
              <w:rPr>
                <w:color w:val="FFFFFF" w:themeColor="background1"/>
                <w:sz w:val="19"/>
                <w:szCs w:val="19"/>
              </w:rPr>
            </w:pPr>
            <w:r w:rsidRPr="000949F9">
              <w:rPr>
                <w:rFonts w:ascii="Aptos" w:eastAsia="Aptos" w:hAnsi="Aptos" w:cs="Aptos"/>
                <w:b/>
                <w:bCs/>
                <w:color w:val="FFFFFF" w:themeColor="background1"/>
                <w:spacing w:val="6"/>
                <w:sz w:val="19"/>
                <w:szCs w:val="19"/>
              </w:rPr>
              <w:t>EXAMPLES OF REASONABLE ADJUSTMENTS</w:t>
            </w:r>
          </w:p>
        </w:tc>
      </w:tr>
      <w:tr w:rsidR="003410D5" w14:paraId="2FF8BABD" w14:textId="77777777" w:rsidTr="000949F9">
        <w:trPr>
          <w:cantSplit/>
        </w:trPr>
        <w:tc>
          <w:tcPr>
            <w:tcW w:w="955" w:type="pct"/>
            <w:tcMar>
              <w:top w:w="110" w:type="dxa"/>
              <w:left w:w="0" w:type="dxa"/>
              <w:bottom w:w="110" w:type="dxa"/>
              <w:right w:w="120" w:type="dxa"/>
            </w:tcMar>
          </w:tcPr>
          <w:p w14:paraId="2FF8BABB" w14:textId="77777777" w:rsidR="003410D5" w:rsidRPr="00C544F4" w:rsidRDefault="001F710F" w:rsidP="000949F9">
            <w:pPr>
              <w:jc w:val="center"/>
              <w:rPr>
                <w:sz w:val="19"/>
                <w:szCs w:val="19"/>
              </w:rPr>
            </w:pPr>
            <w:r w:rsidRPr="00C544F4">
              <w:rPr>
                <w:rFonts w:ascii="Aptos" w:eastAsia="Aptos" w:hAnsi="Aptos" w:cs="Aptos"/>
                <w:b/>
                <w:bCs/>
                <w:color w:val="7C7C81"/>
                <w:sz w:val="19"/>
                <w:szCs w:val="19"/>
              </w:rPr>
              <w:t>Temperature and ventilation</w:t>
            </w:r>
          </w:p>
        </w:tc>
        <w:tc>
          <w:tcPr>
            <w:tcW w:w="4045" w:type="pct"/>
            <w:tcMar>
              <w:top w:w="110" w:type="dxa"/>
              <w:left w:w="120" w:type="dxa"/>
              <w:bottom w:w="110" w:type="dxa"/>
              <w:right w:w="120" w:type="dxa"/>
            </w:tcMar>
          </w:tcPr>
          <w:p w14:paraId="2FF8BABC" w14:textId="77777777" w:rsidR="003410D5" w:rsidRPr="00C544F4" w:rsidRDefault="001F710F">
            <w:pPr>
              <w:rPr>
                <w:sz w:val="19"/>
                <w:szCs w:val="19"/>
              </w:rPr>
            </w:pPr>
            <w:r w:rsidRPr="00C544F4">
              <w:rPr>
                <w:rFonts w:ascii="Aptos" w:eastAsia="Aptos" w:hAnsi="Aptos" w:cs="Aptos"/>
                <w:color w:val="7C7C81"/>
                <w:sz w:val="19"/>
                <w:szCs w:val="19"/>
              </w:rPr>
              <w:t>Access to a fan or cooler workspace; adjustable thermostat where possible; access to cold drinking water; lighter or breathable uniform or dress code where applicable</w:t>
            </w:r>
          </w:p>
        </w:tc>
      </w:tr>
      <w:tr w:rsidR="003410D5" w14:paraId="2FF8BAC0" w14:textId="77777777" w:rsidTr="000949F9">
        <w:trPr>
          <w:cantSplit/>
        </w:trPr>
        <w:tc>
          <w:tcPr>
            <w:tcW w:w="955" w:type="pct"/>
            <w:tcMar>
              <w:top w:w="110" w:type="dxa"/>
              <w:left w:w="0" w:type="dxa"/>
              <w:bottom w:w="110" w:type="dxa"/>
              <w:right w:w="120" w:type="dxa"/>
            </w:tcMar>
          </w:tcPr>
          <w:p w14:paraId="2FF8BABE" w14:textId="77777777" w:rsidR="003410D5" w:rsidRPr="00C544F4" w:rsidRDefault="001F710F" w:rsidP="000949F9">
            <w:pPr>
              <w:jc w:val="center"/>
              <w:rPr>
                <w:sz w:val="19"/>
                <w:szCs w:val="19"/>
              </w:rPr>
            </w:pPr>
            <w:r w:rsidRPr="00C544F4">
              <w:rPr>
                <w:rFonts w:ascii="Aptos" w:eastAsia="Aptos" w:hAnsi="Aptos" w:cs="Aptos"/>
                <w:b/>
                <w:bCs/>
                <w:color w:val="7C7C81"/>
                <w:sz w:val="19"/>
                <w:szCs w:val="19"/>
              </w:rPr>
              <w:t>Flexible working arrangements</w:t>
            </w:r>
          </w:p>
        </w:tc>
        <w:tc>
          <w:tcPr>
            <w:tcW w:w="4045" w:type="pct"/>
            <w:tcMar>
              <w:top w:w="110" w:type="dxa"/>
              <w:left w:w="120" w:type="dxa"/>
              <w:bottom w:w="110" w:type="dxa"/>
              <w:right w:w="120" w:type="dxa"/>
            </w:tcMar>
          </w:tcPr>
          <w:p w14:paraId="2FF8BABF" w14:textId="77777777" w:rsidR="003410D5" w:rsidRPr="00C544F4" w:rsidRDefault="001F710F">
            <w:pPr>
              <w:rPr>
                <w:sz w:val="19"/>
                <w:szCs w:val="19"/>
              </w:rPr>
            </w:pPr>
            <w:r w:rsidRPr="00C544F4">
              <w:rPr>
                <w:rFonts w:ascii="Aptos" w:eastAsia="Aptos" w:hAnsi="Aptos" w:cs="Aptos"/>
                <w:color w:val="7C7C81"/>
                <w:sz w:val="19"/>
                <w:szCs w:val="19"/>
              </w:rPr>
              <w:t>Flexible start and finish times; ability to take additional short breaks; home working on more symptomatic days; compressed hours or reduced hours on a temporary or permanent basis</w:t>
            </w:r>
          </w:p>
        </w:tc>
      </w:tr>
      <w:tr w:rsidR="003410D5" w14:paraId="2FF8BAC3" w14:textId="77777777" w:rsidTr="000949F9">
        <w:trPr>
          <w:cantSplit/>
        </w:trPr>
        <w:tc>
          <w:tcPr>
            <w:tcW w:w="955" w:type="pct"/>
            <w:tcMar>
              <w:top w:w="110" w:type="dxa"/>
              <w:left w:w="0" w:type="dxa"/>
              <w:bottom w:w="110" w:type="dxa"/>
              <w:right w:w="120" w:type="dxa"/>
            </w:tcMar>
          </w:tcPr>
          <w:p w14:paraId="2FF8BAC1" w14:textId="77777777" w:rsidR="003410D5" w:rsidRPr="00C544F4" w:rsidRDefault="001F710F" w:rsidP="000949F9">
            <w:pPr>
              <w:jc w:val="center"/>
              <w:rPr>
                <w:sz w:val="19"/>
                <w:szCs w:val="19"/>
              </w:rPr>
            </w:pPr>
            <w:r w:rsidRPr="00C544F4">
              <w:rPr>
                <w:rFonts w:ascii="Aptos" w:eastAsia="Aptos" w:hAnsi="Aptos" w:cs="Aptos"/>
                <w:b/>
                <w:bCs/>
                <w:color w:val="7C7C81"/>
                <w:sz w:val="19"/>
                <w:szCs w:val="19"/>
              </w:rPr>
              <w:t>Rest and recovery</w:t>
            </w:r>
          </w:p>
        </w:tc>
        <w:tc>
          <w:tcPr>
            <w:tcW w:w="4045" w:type="pct"/>
            <w:tcMar>
              <w:top w:w="110" w:type="dxa"/>
              <w:left w:w="120" w:type="dxa"/>
              <w:bottom w:w="110" w:type="dxa"/>
              <w:right w:w="120" w:type="dxa"/>
            </w:tcMar>
          </w:tcPr>
          <w:p w14:paraId="2FF8BAC2" w14:textId="77777777" w:rsidR="003410D5" w:rsidRPr="00C544F4" w:rsidRDefault="001F710F">
            <w:pPr>
              <w:rPr>
                <w:sz w:val="19"/>
                <w:szCs w:val="19"/>
              </w:rPr>
            </w:pPr>
            <w:r w:rsidRPr="00C544F4">
              <w:rPr>
                <w:rFonts w:ascii="Aptos" w:eastAsia="Aptos" w:hAnsi="Aptos" w:cs="Aptos"/>
                <w:color w:val="7C7C81"/>
                <w:sz w:val="19"/>
                <w:szCs w:val="19"/>
              </w:rPr>
              <w:t>Access to a private rest area where possible; flexibility around break frequency and timing; reduced exposure to high-pressure environments on particularly symptomatic days</w:t>
            </w:r>
          </w:p>
        </w:tc>
      </w:tr>
      <w:tr w:rsidR="003410D5" w14:paraId="2FF8BAC6" w14:textId="77777777" w:rsidTr="000949F9">
        <w:trPr>
          <w:cantSplit/>
        </w:trPr>
        <w:tc>
          <w:tcPr>
            <w:tcW w:w="955" w:type="pct"/>
            <w:tcMar>
              <w:top w:w="110" w:type="dxa"/>
              <w:left w:w="0" w:type="dxa"/>
              <w:bottom w:w="110" w:type="dxa"/>
              <w:right w:w="120" w:type="dxa"/>
            </w:tcMar>
          </w:tcPr>
          <w:p w14:paraId="2FF8BAC4" w14:textId="77777777" w:rsidR="003410D5" w:rsidRPr="00C544F4" w:rsidRDefault="001F710F" w:rsidP="000949F9">
            <w:pPr>
              <w:jc w:val="center"/>
              <w:rPr>
                <w:sz w:val="19"/>
                <w:szCs w:val="19"/>
              </w:rPr>
            </w:pPr>
            <w:r w:rsidRPr="00C544F4">
              <w:rPr>
                <w:rFonts w:ascii="Aptos" w:eastAsia="Aptos" w:hAnsi="Aptos" w:cs="Aptos"/>
                <w:b/>
                <w:bCs/>
                <w:color w:val="7C7C81"/>
                <w:sz w:val="19"/>
                <w:szCs w:val="19"/>
              </w:rPr>
              <w:t>Toilet and hygiene facilities</w:t>
            </w:r>
          </w:p>
        </w:tc>
        <w:tc>
          <w:tcPr>
            <w:tcW w:w="4045" w:type="pct"/>
            <w:tcMar>
              <w:top w:w="110" w:type="dxa"/>
              <w:left w:w="120" w:type="dxa"/>
              <w:bottom w:w="110" w:type="dxa"/>
              <w:right w:w="120" w:type="dxa"/>
            </w:tcMar>
          </w:tcPr>
          <w:p w14:paraId="2FF8BAC5" w14:textId="77777777" w:rsidR="003410D5" w:rsidRPr="00C544F4" w:rsidRDefault="001F710F">
            <w:pPr>
              <w:rPr>
                <w:sz w:val="19"/>
                <w:szCs w:val="19"/>
              </w:rPr>
            </w:pPr>
            <w:r w:rsidRPr="00C544F4">
              <w:rPr>
                <w:rFonts w:ascii="Aptos" w:eastAsia="Aptos" w:hAnsi="Aptos" w:cs="Aptos"/>
                <w:color w:val="7C7C81"/>
                <w:sz w:val="19"/>
                <w:szCs w:val="19"/>
              </w:rPr>
              <w:t>Ready access to toilet facilities without the need to formally request permission; access to a suitable changing area where needed; access to sanitary products in shared facilities</w:t>
            </w:r>
          </w:p>
        </w:tc>
      </w:tr>
      <w:tr w:rsidR="003410D5" w14:paraId="2FF8BAC9" w14:textId="77777777" w:rsidTr="000949F9">
        <w:trPr>
          <w:cantSplit/>
        </w:trPr>
        <w:tc>
          <w:tcPr>
            <w:tcW w:w="955" w:type="pct"/>
            <w:tcMar>
              <w:top w:w="110" w:type="dxa"/>
              <w:left w:w="0" w:type="dxa"/>
              <w:bottom w:w="110" w:type="dxa"/>
              <w:right w:w="120" w:type="dxa"/>
            </w:tcMar>
          </w:tcPr>
          <w:p w14:paraId="2FF8BAC7" w14:textId="77777777" w:rsidR="003410D5" w:rsidRPr="00C544F4" w:rsidRDefault="001F710F" w:rsidP="000949F9">
            <w:pPr>
              <w:jc w:val="center"/>
              <w:rPr>
                <w:sz w:val="19"/>
                <w:szCs w:val="19"/>
              </w:rPr>
            </w:pPr>
            <w:r w:rsidRPr="00C544F4">
              <w:rPr>
                <w:rFonts w:ascii="Aptos" w:eastAsia="Aptos" w:hAnsi="Aptos" w:cs="Aptos"/>
                <w:b/>
                <w:bCs/>
                <w:color w:val="7C7C81"/>
                <w:sz w:val="19"/>
                <w:szCs w:val="19"/>
              </w:rPr>
              <w:t>Uniform and dress code</w:t>
            </w:r>
          </w:p>
        </w:tc>
        <w:tc>
          <w:tcPr>
            <w:tcW w:w="4045" w:type="pct"/>
            <w:tcMar>
              <w:top w:w="110" w:type="dxa"/>
              <w:left w:w="120" w:type="dxa"/>
              <w:bottom w:w="110" w:type="dxa"/>
              <w:right w:w="120" w:type="dxa"/>
            </w:tcMar>
          </w:tcPr>
          <w:p w14:paraId="2FF8BAC8" w14:textId="77777777" w:rsidR="003410D5" w:rsidRPr="00C544F4" w:rsidRDefault="001F710F">
            <w:pPr>
              <w:rPr>
                <w:sz w:val="19"/>
                <w:szCs w:val="19"/>
              </w:rPr>
            </w:pPr>
            <w:r w:rsidRPr="00C544F4">
              <w:rPr>
                <w:rFonts w:ascii="Aptos" w:eastAsia="Aptos" w:hAnsi="Aptos" w:cs="Aptos"/>
                <w:color w:val="7C7C81"/>
                <w:sz w:val="19"/>
                <w:szCs w:val="19"/>
              </w:rPr>
              <w:t>Flexibility in uniform or dress code to allow breathable, natural fabrics; relaxation of formal dress requirements where practical</w:t>
            </w:r>
          </w:p>
        </w:tc>
      </w:tr>
      <w:tr w:rsidR="003410D5" w14:paraId="2FF8BACC" w14:textId="77777777" w:rsidTr="000949F9">
        <w:trPr>
          <w:cantSplit/>
        </w:trPr>
        <w:tc>
          <w:tcPr>
            <w:tcW w:w="955" w:type="pct"/>
            <w:tcMar>
              <w:top w:w="110" w:type="dxa"/>
              <w:left w:w="0" w:type="dxa"/>
              <w:bottom w:w="110" w:type="dxa"/>
              <w:right w:w="120" w:type="dxa"/>
            </w:tcMar>
          </w:tcPr>
          <w:p w14:paraId="2FF8BACA" w14:textId="77777777" w:rsidR="003410D5" w:rsidRPr="00C544F4" w:rsidRDefault="001F710F" w:rsidP="000949F9">
            <w:pPr>
              <w:jc w:val="center"/>
              <w:rPr>
                <w:sz w:val="19"/>
                <w:szCs w:val="19"/>
              </w:rPr>
            </w:pPr>
            <w:r w:rsidRPr="00C544F4">
              <w:rPr>
                <w:rFonts w:ascii="Aptos" w:eastAsia="Aptos" w:hAnsi="Aptos" w:cs="Aptos"/>
                <w:b/>
                <w:bCs/>
                <w:color w:val="7C7C81"/>
                <w:sz w:val="19"/>
                <w:szCs w:val="19"/>
              </w:rPr>
              <w:t>Task and workload adjustments</w:t>
            </w:r>
          </w:p>
        </w:tc>
        <w:tc>
          <w:tcPr>
            <w:tcW w:w="4045" w:type="pct"/>
            <w:tcMar>
              <w:top w:w="110" w:type="dxa"/>
              <w:left w:w="120" w:type="dxa"/>
              <w:bottom w:w="110" w:type="dxa"/>
              <w:right w:w="120" w:type="dxa"/>
            </w:tcMar>
          </w:tcPr>
          <w:p w14:paraId="2FF8BACB" w14:textId="77777777" w:rsidR="003410D5" w:rsidRPr="00C544F4" w:rsidRDefault="001F710F">
            <w:pPr>
              <w:rPr>
                <w:sz w:val="19"/>
                <w:szCs w:val="19"/>
              </w:rPr>
            </w:pPr>
            <w:r w:rsidRPr="00C544F4">
              <w:rPr>
                <w:rFonts w:ascii="Aptos" w:eastAsia="Aptos" w:hAnsi="Aptos" w:cs="Aptos"/>
                <w:color w:val="7C7C81"/>
                <w:sz w:val="19"/>
                <w:szCs w:val="19"/>
              </w:rPr>
              <w:t xml:space="preserve">Temporary redistribution of high-concentration or high-stakes tasks during acute episodes; additional support with </w:t>
            </w:r>
            <w:proofErr w:type="gramStart"/>
            <w:r w:rsidRPr="00C544F4">
              <w:rPr>
                <w:rFonts w:ascii="Aptos" w:eastAsia="Aptos" w:hAnsi="Aptos" w:cs="Aptos"/>
                <w:color w:val="7C7C81"/>
                <w:sz w:val="19"/>
                <w:szCs w:val="19"/>
              </w:rPr>
              <w:t>note-taking</w:t>
            </w:r>
            <w:proofErr w:type="gramEnd"/>
            <w:r w:rsidRPr="00C544F4">
              <w:rPr>
                <w:rFonts w:ascii="Aptos" w:eastAsia="Aptos" w:hAnsi="Aptos" w:cs="Aptos"/>
                <w:color w:val="7C7C81"/>
                <w:sz w:val="19"/>
                <w:szCs w:val="19"/>
              </w:rPr>
              <w:t xml:space="preserve"> or memory aids; adjustments to shift patterns</w:t>
            </w:r>
          </w:p>
        </w:tc>
      </w:tr>
      <w:tr w:rsidR="003410D5" w14:paraId="2FF8BACF" w14:textId="77777777" w:rsidTr="000949F9">
        <w:trPr>
          <w:cantSplit/>
        </w:trPr>
        <w:tc>
          <w:tcPr>
            <w:tcW w:w="955" w:type="pct"/>
            <w:tcMar>
              <w:top w:w="110" w:type="dxa"/>
              <w:left w:w="0" w:type="dxa"/>
              <w:bottom w:w="110" w:type="dxa"/>
              <w:right w:w="120" w:type="dxa"/>
            </w:tcMar>
          </w:tcPr>
          <w:p w14:paraId="2FF8BACD" w14:textId="77777777" w:rsidR="003410D5" w:rsidRPr="00C544F4" w:rsidRDefault="001F710F" w:rsidP="000949F9">
            <w:pPr>
              <w:jc w:val="center"/>
              <w:rPr>
                <w:sz w:val="19"/>
                <w:szCs w:val="19"/>
              </w:rPr>
            </w:pPr>
            <w:r w:rsidRPr="00C544F4">
              <w:rPr>
                <w:rFonts w:ascii="Aptos" w:eastAsia="Aptos" w:hAnsi="Aptos" w:cs="Aptos"/>
                <w:b/>
                <w:bCs/>
                <w:color w:val="7C7C81"/>
                <w:sz w:val="19"/>
                <w:szCs w:val="19"/>
              </w:rPr>
              <w:t>Attendance and absence</w:t>
            </w:r>
          </w:p>
        </w:tc>
        <w:tc>
          <w:tcPr>
            <w:tcW w:w="4045" w:type="pct"/>
            <w:tcMar>
              <w:top w:w="110" w:type="dxa"/>
              <w:left w:w="120" w:type="dxa"/>
              <w:bottom w:w="110" w:type="dxa"/>
              <w:right w:w="120" w:type="dxa"/>
            </w:tcMar>
          </w:tcPr>
          <w:p w14:paraId="2FF8BACE" w14:textId="77777777" w:rsidR="003410D5" w:rsidRPr="00C544F4" w:rsidRDefault="001F710F">
            <w:pPr>
              <w:rPr>
                <w:sz w:val="19"/>
                <w:szCs w:val="19"/>
              </w:rPr>
            </w:pPr>
            <w:r w:rsidRPr="00C544F4">
              <w:rPr>
                <w:rFonts w:ascii="Aptos" w:eastAsia="Aptos" w:hAnsi="Aptos" w:cs="Aptos"/>
                <w:color w:val="7C7C81"/>
                <w:sz w:val="19"/>
                <w:szCs w:val="19"/>
              </w:rPr>
              <w:t>Menopausal symptoms to be recorded separately from general sickness absence where appropriate; sensitivity in absence management processes where absence is related to menopausal symptoms</w:t>
            </w:r>
          </w:p>
        </w:tc>
      </w:tr>
      <w:tr w:rsidR="003410D5" w14:paraId="2FF8BAD2" w14:textId="77777777" w:rsidTr="000949F9">
        <w:trPr>
          <w:cantSplit/>
        </w:trPr>
        <w:tc>
          <w:tcPr>
            <w:tcW w:w="955" w:type="pct"/>
            <w:tcMar>
              <w:top w:w="110" w:type="dxa"/>
              <w:left w:w="0" w:type="dxa"/>
              <w:bottom w:w="110" w:type="dxa"/>
              <w:right w:w="120" w:type="dxa"/>
            </w:tcMar>
          </w:tcPr>
          <w:p w14:paraId="2FF8BAD0" w14:textId="77777777" w:rsidR="003410D5" w:rsidRPr="00C544F4" w:rsidRDefault="001F710F" w:rsidP="000949F9">
            <w:pPr>
              <w:jc w:val="center"/>
              <w:rPr>
                <w:sz w:val="19"/>
                <w:szCs w:val="19"/>
              </w:rPr>
            </w:pPr>
            <w:r w:rsidRPr="00C544F4">
              <w:rPr>
                <w:rFonts w:ascii="Aptos" w:eastAsia="Aptos" w:hAnsi="Aptos" w:cs="Aptos"/>
                <w:b/>
                <w:bCs/>
                <w:color w:val="7C7C81"/>
                <w:sz w:val="19"/>
                <w:szCs w:val="19"/>
              </w:rPr>
              <w:t>Psychological and emotional support</w:t>
            </w:r>
          </w:p>
        </w:tc>
        <w:tc>
          <w:tcPr>
            <w:tcW w:w="4045" w:type="pct"/>
            <w:tcMar>
              <w:top w:w="110" w:type="dxa"/>
              <w:left w:w="120" w:type="dxa"/>
              <w:bottom w:w="110" w:type="dxa"/>
              <w:right w:w="120" w:type="dxa"/>
            </w:tcMar>
          </w:tcPr>
          <w:p w14:paraId="2FF8BAD1" w14:textId="77777777" w:rsidR="003410D5" w:rsidRPr="00C544F4" w:rsidRDefault="001F710F">
            <w:pPr>
              <w:rPr>
                <w:sz w:val="19"/>
                <w:szCs w:val="19"/>
              </w:rPr>
            </w:pPr>
            <w:r w:rsidRPr="00C544F4">
              <w:rPr>
                <w:rFonts w:ascii="Aptos" w:eastAsia="Aptos" w:hAnsi="Aptos" w:cs="Aptos"/>
                <w:color w:val="7C7C81"/>
                <w:sz w:val="19"/>
                <w:szCs w:val="19"/>
              </w:rPr>
              <w:t>Access to EAP counselling; referral to Occupational Health where appropriate; regular supportive one-to-ones with the line manager or HR</w:t>
            </w:r>
          </w:p>
        </w:tc>
      </w:tr>
    </w:tbl>
    <w:p w14:paraId="2FF8BAD3" w14:textId="1227FEE0" w:rsidR="003410D5" w:rsidRDefault="001F710F">
      <w:pPr>
        <w:spacing w:after="160" w:line="264" w:lineRule="auto"/>
      </w:pPr>
      <w:r>
        <w:rPr>
          <w:rFonts w:ascii="Aptos" w:eastAsia="Aptos" w:hAnsi="Aptos" w:cs="Aptos"/>
          <w:color w:val="7C7C81"/>
        </w:rPr>
        <w:t xml:space="preserve">Not all adjustments will be appropriate or possible in every role or workplace. The organisation will always explore what is reasonable and </w:t>
      </w:r>
      <w:proofErr w:type="gramStart"/>
      <w:r>
        <w:rPr>
          <w:rFonts w:ascii="Aptos" w:eastAsia="Aptos" w:hAnsi="Aptos" w:cs="Aptos"/>
          <w:color w:val="7C7C81"/>
        </w:rPr>
        <w:t>practical, and</w:t>
      </w:r>
      <w:proofErr w:type="gramEnd"/>
      <w:r>
        <w:rPr>
          <w:rFonts w:ascii="Aptos" w:eastAsia="Aptos" w:hAnsi="Aptos" w:cs="Aptos"/>
          <w:color w:val="7C7C81"/>
        </w:rPr>
        <w:t xml:space="preserve"> will engage openly with employees about what can and cannot be accommodated. Where a requested adjustment cannot be implemented, the reason will be explained and alternatives explored.</w:t>
      </w:r>
    </w:p>
    <w:p w14:paraId="2FF8BAD4" w14:textId="77777777" w:rsidR="003410D5" w:rsidRDefault="001F710F">
      <w:pPr>
        <w:keepNext/>
        <w:keepLines/>
        <w:spacing w:before="200" w:after="40"/>
      </w:pPr>
      <w:r>
        <w:rPr>
          <w:rFonts w:ascii="Aptos" w:eastAsia="Aptos" w:hAnsi="Aptos" w:cs="Aptos"/>
          <w:b/>
          <w:bCs/>
          <w:color w:val="F29D22"/>
          <w:spacing w:val="20"/>
        </w:rPr>
        <w:lastRenderedPageBreak/>
        <w:t>SECTION 07</w:t>
      </w:r>
    </w:p>
    <w:p w14:paraId="2FF8BAD5" w14:textId="77777777" w:rsidR="003410D5" w:rsidRDefault="001F710F">
      <w:pPr>
        <w:keepNext/>
        <w:keepLines/>
      </w:pPr>
      <w:r>
        <w:rPr>
          <w:rFonts w:ascii="Aptos" w:eastAsia="Aptos" w:hAnsi="Aptos" w:cs="Aptos"/>
          <w:b/>
          <w:bCs/>
          <w:color w:val="7C7C81"/>
          <w:sz w:val="24"/>
          <w:szCs w:val="24"/>
        </w:rPr>
        <w:t>How to Request Support</w:t>
      </w:r>
    </w:p>
    <w:p w14:paraId="2FF8BAD6" w14:textId="77777777" w:rsidR="003410D5" w:rsidRDefault="003410D5">
      <w:pPr>
        <w:keepNext/>
        <w:pBdr>
          <w:bottom w:val="single" w:sz="6" w:space="1" w:color="B9B8B9"/>
        </w:pBdr>
        <w:spacing w:after="120"/>
      </w:pPr>
    </w:p>
    <w:p w14:paraId="2FF8BAD7" w14:textId="77777777" w:rsidR="003410D5" w:rsidRDefault="001F710F">
      <w:pPr>
        <w:spacing w:after="160" w:line="264" w:lineRule="auto"/>
      </w:pPr>
      <w:r>
        <w:rPr>
          <w:rFonts w:ascii="Aptos" w:eastAsia="Aptos" w:hAnsi="Aptos" w:cs="Aptos"/>
          <w:color w:val="7C7C81"/>
        </w:rPr>
        <w:t>Employees who would like to discuss support do not need to follow a formal process. The first step is simply a conversation - with your line manager, or with HR if you would prefer.</w:t>
      </w:r>
    </w:p>
    <w:p w14:paraId="2FF8BAD8" w14:textId="48A1402A"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Speak to your line manager - they are trained and supported to have this conversation with you sensitively</w:t>
      </w:r>
    </w:p>
    <w:p w14:paraId="2FF8BAD9" w14:textId="196178A6"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Contact HR directly at [HR email / phone] if you prefer a different contact</w:t>
      </w:r>
    </w:p>
    <w:p w14:paraId="2FF8BADA" w14:textId="76C82911"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Access the EAP - [contact details] - for confidential support at any time, without the need for any referral</w:t>
      </w:r>
    </w:p>
    <w:p w14:paraId="2FF8BADB" w14:textId="5DA8F6FC" w:rsidR="003410D5" w:rsidRDefault="0012112D">
      <w:pPr>
        <w:spacing w:line="258" w:lineRule="auto"/>
        <w:ind w:left="300" w:hanging="220"/>
      </w:pPr>
      <w:r>
        <w:rPr>
          <w:rFonts w:ascii="Aptos" w:eastAsia="Aptos" w:hAnsi="Aptos" w:cs="Aptos"/>
          <w:b/>
          <w:bCs/>
          <w:color w:val="F29D22"/>
        </w:rPr>
        <w:t>-</w:t>
      </w:r>
      <w:r w:rsidR="001F710F">
        <w:rPr>
          <w:rFonts w:ascii="Aptos" w:eastAsia="Aptos" w:hAnsi="Aptos" w:cs="Aptos"/>
          <w:b/>
          <w:bCs/>
          <w:color w:val="F29D22"/>
        </w:rPr>
        <w:t xml:space="preserve">  </w:t>
      </w:r>
      <w:r w:rsidR="001F710F">
        <w:rPr>
          <w:rFonts w:ascii="Aptos" w:eastAsia="Aptos" w:hAnsi="Aptos" w:cs="Aptos"/>
          <w:color w:val="7C7C81"/>
        </w:rPr>
        <w:t>Ask for an Occupational Health referral where you would like independent medical advice on managing symptoms in the workplace</w:t>
      </w:r>
    </w:p>
    <w:p w14:paraId="2FF8BADC" w14:textId="77777777" w:rsidR="003410D5" w:rsidRDefault="001F710F">
      <w:pPr>
        <w:spacing w:before="150" w:after="160" w:line="264" w:lineRule="auto"/>
      </w:pPr>
      <w:r>
        <w:rPr>
          <w:rFonts w:ascii="Aptos" w:eastAsia="Aptos" w:hAnsi="Aptos" w:cs="Aptos"/>
          <w:color w:val="7C7C81"/>
        </w:rPr>
        <w:t>Employees are not required to provide medical evidence to access support. The organisation will take an employee's account of their symptoms at face value. However, an OH referral may be beneficial where symptoms are severe or where more detailed medical advice would inform the adjustments that can be made.</w:t>
      </w:r>
    </w:p>
    <w:p w14:paraId="2FF8BADD" w14:textId="77777777" w:rsidR="003410D5" w:rsidRDefault="001F710F">
      <w:pPr>
        <w:keepNext/>
        <w:keepLines/>
        <w:spacing w:before="200" w:after="40"/>
      </w:pPr>
      <w:r>
        <w:rPr>
          <w:rFonts w:ascii="Aptos" w:eastAsia="Aptos" w:hAnsi="Aptos" w:cs="Aptos"/>
          <w:b/>
          <w:bCs/>
          <w:color w:val="F29D22"/>
          <w:spacing w:val="20"/>
        </w:rPr>
        <w:t>SECTION 08</w:t>
      </w:r>
    </w:p>
    <w:p w14:paraId="2FF8BADE" w14:textId="77777777" w:rsidR="003410D5" w:rsidRDefault="001F710F">
      <w:pPr>
        <w:keepNext/>
        <w:keepLines/>
      </w:pPr>
      <w:r>
        <w:rPr>
          <w:rFonts w:ascii="Aptos" w:eastAsia="Aptos" w:hAnsi="Aptos" w:cs="Aptos"/>
          <w:b/>
          <w:bCs/>
          <w:color w:val="7C7C81"/>
          <w:sz w:val="24"/>
          <w:szCs w:val="24"/>
        </w:rPr>
        <w:t>Absence Related to Menopausal Symptoms</w:t>
      </w:r>
    </w:p>
    <w:p w14:paraId="2FF8BADF" w14:textId="77777777" w:rsidR="003410D5" w:rsidRDefault="003410D5">
      <w:pPr>
        <w:keepNext/>
        <w:pBdr>
          <w:bottom w:val="single" w:sz="6" w:space="1" w:color="B9B8B9"/>
        </w:pBdr>
        <w:spacing w:after="120"/>
      </w:pPr>
    </w:p>
    <w:p w14:paraId="2FF8BAE0" w14:textId="77777777" w:rsidR="003410D5" w:rsidRDefault="001F710F">
      <w:pPr>
        <w:spacing w:after="160" w:line="264" w:lineRule="auto"/>
      </w:pPr>
      <w:r>
        <w:rPr>
          <w:rFonts w:ascii="Aptos" w:eastAsia="Aptos" w:hAnsi="Aptos" w:cs="Aptos"/>
          <w:color w:val="7C7C81"/>
        </w:rPr>
        <w:t xml:space="preserve">Where an employee is absent from work due to menopausal symptoms, this absence will be recorded sensitively and will not automatically be </w:t>
      </w:r>
      <w:proofErr w:type="gramStart"/>
      <w:r>
        <w:rPr>
          <w:rFonts w:ascii="Aptos" w:eastAsia="Aptos" w:hAnsi="Aptos" w:cs="Aptos"/>
          <w:color w:val="7C7C81"/>
        </w:rPr>
        <w:t>taken into account</w:t>
      </w:r>
      <w:proofErr w:type="gramEnd"/>
      <w:r>
        <w:rPr>
          <w:rFonts w:ascii="Aptos" w:eastAsia="Aptos" w:hAnsi="Aptos" w:cs="Aptos"/>
          <w:color w:val="7C7C81"/>
        </w:rPr>
        <w:t xml:space="preserve"> in absence trigger reviews where the absence is clearly linked to the menopause. Each case will be considered individually and in consultation with HR.</w:t>
      </w:r>
    </w:p>
    <w:p w14:paraId="2FF8BAE1" w14:textId="77777777" w:rsidR="003410D5" w:rsidRDefault="001F710F">
      <w:pPr>
        <w:spacing w:after="160" w:line="264" w:lineRule="auto"/>
      </w:pPr>
      <w:r>
        <w:rPr>
          <w:rFonts w:ascii="Aptos" w:eastAsia="Aptos" w:hAnsi="Aptos" w:cs="Aptos"/>
          <w:color w:val="7C7C81"/>
        </w:rPr>
        <w:t>Where an employee's menopausal symptoms may constitute a disability under the Equality Act 2010, the organisation has a duty to make reasonable adjustments - which may include adjustments to the absence management process itself. HR will advise on this on a case-by-case basis.</w:t>
      </w:r>
    </w:p>
    <w:p w14:paraId="2FF8BAE2" w14:textId="77777777" w:rsidR="003410D5" w:rsidRDefault="001F710F">
      <w:pPr>
        <w:keepNext/>
        <w:keepLines/>
        <w:spacing w:before="200" w:after="40"/>
      </w:pPr>
      <w:r>
        <w:rPr>
          <w:rFonts w:ascii="Aptos" w:eastAsia="Aptos" w:hAnsi="Aptos" w:cs="Aptos"/>
          <w:b/>
          <w:bCs/>
          <w:color w:val="F29D22"/>
          <w:spacing w:val="20"/>
        </w:rPr>
        <w:t>SECTION 09</w:t>
      </w:r>
    </w:p>
    <w:p w14:paraId="2FF8BAE3" w14:textId="77777777" w:rsidR="003410D5" w:rsidRDefault="001F710F">
      <w:pPr>
        <w:keepNext/>
        <w:keepLines/>
      </w:pPr>
      <w:r>
        <w:rPr>
          <w:rFonts w:ascii="Aptos" w:eastAsia="Aptos" w:hAnsi="Aptos" w:cs="Aptos"/>
          <w:b/>
          <w:bCs/>
          <w:color w:val="7C7C81"/>
          <w:sz w:val="24"/>
          <w:szCs w:val="24"/>
        </w:rPr>
        <w:t>Confidentiality</w:t>
      </w:r>
    </w:p>
    <w:p w14:paraId="2FF8BAE4" w14:textId="77777777" w:rsidR="003410D5" w:rsidRDefault="003410D5">
      <w:pPr>
        <w:keepNext/>
        <w:pBdr>
          <w:bottom w:val="single" w:sz="6" w:space="1" w:color="B9B8B9"/>
        </w:pBdr>
        <w:spacing w:after="120"/>
      </w:pPr>
    </w:p>
    <w:p w14:paraId="2FF8BAE5" w14:textId="77777777" w:rsidR="003410D5" w:rsidRDefault="001F710F">
      <w:pPr>
        <w:spacing w:after="160" w:line="264" w:lineRule="auto"/>
      </w:pPr>
      <w:r>
        <w:rPr>
          <w:rFonts w:ascii="Aptos" w:eastAsia="Aptos" w:hAnsi="Aptos" w:cs="Aptos"/>
          <w:color w:val="7C7C81"/>
        </w:rPr>
        <w:t xml:space="preserve">All conversations about menopausal symptoms - whether with a manager, HR or OH - will be treated with strict confidentiality. Information about an employee's symptoms will not be shared beyond those who need to know </w:t>
      </w:r>
      <w:proofErr w:type="gramStart"/>
      <w:r>
        <w:rPr>
          <w:rFonts w:ascii="Aptos" w:eastAsia="Aptos" w:hAnsi="Aptos" w:cs="Aptos"/>
          <w:color w:val="7C7C81"/>
        </w:rPr>
        <w:t>in order to</w:t>
      </w:r>
      <w:proofErr w:type="gramEnd"/>
      <w:r>
        <w:rPr>
          <w:rFonts w:ascii="Aptos" w:eastAsia="Aptos" w:hAnsi="Aptos" w:cs="Aptos"/>
          <w:color w:val="7C7C81"/>
        </w:rPr>
        <w:t xml:space="preserve"> arrange appropriate support, and only with the employee's knowledge.</w:t>
      </w:r>
    </w:p>
    <w:p w14:paraId="2FF8BAE6" w14:textId="77777777" w:rsidR="003410D5" w:rsidRDefault="001F710F">
      <w:pPr>
        <w:spacing w:after="160" w:line="264" w:lineRule="auto"/>
      </w:pPr>
      <w:r>
        <w:rPr>
          <w:rFonts w:ascii="Aptos" w:eastAsia="Aptos" w:hAnsi="Aptos" w:cs="Aptos"/>
          <w:color w:val="7C7C81"/>
        </w:rPr>
        <w:t>Employees are never required to disclose menopausal symptoms. The decision to disclose is entirely the individual's own and will always be respected.</w:t>
      </w:r>
    </w:p>
    <w:p w14:paraId="2FF8BAE7" w14:textId="77777777" w:rsidR="003410D5" w:rsidRDefault="001F710F">
      <w:pPr>
        <w:keepNext/>
        <w:keepLines/>
        <w:spacing w:before="200" w:after="40"/>
      </w:pPr>
      <w:r>
        <w:rPr>
          <w:rFonts w:ascii="Aptos" w:eastAsia="Aptos" w:hAnsi="Aptos" w:cs="Aptos"/>
          <w:b/>
          <w:bCs/>
          <w:color w:val="F29D22"/>
          <w:spacing w:val="20"/>
        </w:rPr>
        <w:t>SECTION 10</w:t>
      </w:r>
    </w:p>
    <w:p w14:paraId="2FF8BAE8" w14:textId="77777777" w:rsidR="003410D5" w:rsidRDefault="001F710F">
      <w:pPr>
        <w:keepNext/>
        <w:keepLines/>
      </w:pPr>
      <w:r>
        <w:rPr>
          <w:rFonts w:ascii="Aptos" w:eastAsia="Aptos" w:hAnsi="Aptos" w:cs="Aptos"/>
          <w:b/>
          <w:bCs/>
          <w:color w:val="7C7C81"/>
          <w:sz w:val="24"/>
          <w:szCs w:val="24"/>
        </w:rPr>
        <w:t>Raising a Concern</w:t>
      </w:r>
    </w:p>
    <w:p w14:paraId="2FF8BAE9" w14:textId="77777777" w:rsidR="003410D5" w:rsidRDefault="003410D5">
      <w:pPr>
        <w:keepNext/>
        <w:pBdr>
          <w:bottom w:val="single" w:sz="6" w:space="1" w:color="B9B8B9"/>
        </w:pBdr>
        <w:spacing w:after="120"/>
      </w:pPr>
    </w:p>
    <w:p w14:paraId="2FF8BAEA" w14:textId="77777777" w:rsidR="003410D5" w:rsidRDefault="001F710F">
      <w:pPr>
        <w:spacing w:after="160" w:line="264" w:lineRule="auto"/>
      </w:pPr>
      <w:r>
        <w:rPr>
          <w:rFonts w:ascii="Aptos" w:eastAsia="Aptos" w:hAnsi="Aptos" w:cs="Aptos"/>
          <w:color w:val="7C7C81"/>
        </w:rPr>
        <w:t>If an employee feels that they have been treated unfairly, dismissed, disciplined or otherwise disadvantaged in connection with their menopausal symptoms, they should raise this through the organisation's Grievance Policy. Where such treatment may constitute unlawful discrimination, employees may also have recourse to an Employment Tribunal.</w:t>
      </w:r>
    </w:p>
    <w:p w14:paraId="2FF8BAEB" w14:textId="77777777" w:rsidR="003410D5" w:rsidRDefault="001F710F">
      <w:pPr>
        <w:spacing w:after="160" w:line="264" w:lineRule="auto"/>
      </w:pPr>
      <w:r>
        <w:rPr>
          <w:rFonts w:ascii="Aptos" w:eastAsia="Aptos" w:hAnsi="Aptos" w:cs="Aptos"/>
          <w:color w:val="7C7C81"/>
        </w:rPr>
        <w:t>The organisation takes any complaint of this nature extremely seriously. An employee who raises a concern in good faith will be protected from any retaliation.</w:t>
      </w:r>
    </w:p>
    <w:p w14:paraId="2FF8BAEC" w14:textId="77777777" w:rsidR="003410D5" w:rsidRDefault="001F710F">
      <w:pPr>
        <w:keepNext/>
        <w:keepLines/>
        <w:spacing w:before="200" w:after="40"/>
      </w:pPr>
      <w:r>
        <w:rPr>
          <w:rFonts w:ascii="Aptos" w:eastAsia="Aptos" w:hAnsi="Aptos" w:cs="Aptos"/>
          <w:b/>
          <w:bCs/>
          <w:color w:val="F29D22"/>
          <w:spacing w:val="20"/>
        </w:rPr>
        <w:lastRenderedPageBreak/>
        <w:t>SECTION 11</w:t>
      </w:r>
    </w:p>
    <w:p w14:paraId="2FF8BAED" w14:textId="77777777" w:rsidR="003410D5" w:rsidRDefault="001F710F">
      <w:pPr>
        <w:keepNext/>
        <w:keepLines/>
      </w:pPr>
      <w:r>
        <w:rPr>
          <w:rFonts w:ascii="Aptos" w:eastAsia="Aptos" w:hAnsi="Aptos" w:cs="Aptos"/>
          <w:b/>
          <w:bCs/>
          <w:color w:val="7C7C81"/>
          <w:sz w:val="24"/>
          <w:szCs w:val="24"/>
        </w:rPr>
        <w:t>Support Resources</w:t>
      </w:r>
    </w:p>
    <w:p w14:paraId="2FF8BAEE" w14:textId="77777777" w:rsidR="003410D5" w:rsidRDefault="003410D5">
      <w:pPr>
        <w:keepNext/>
        <w:pBdr>
          <w:bottom w:val="single" w:sz="6" w:space="1" w:color="B9B8B9"/>
        </w:pBdr>
        <w:spacing w:after="120"/>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2405"/>
        <w:gridCol w:w="7223"/>
      </w:tblGrid>
      <w:tr w:rsidR="003410D5" w:rsidRPr="000949F9" w14:paraId="2FF8BAF1" w14:textId="77777777" w:rsidTr="000949F9">
        <w:trPr>
          <w:cantSplit/>
          <w:tblHeader/>
        </w:trPr>
        <w:tc>
          <w:tcPr>
            <w:tcW w:w="1249" w:type="pct"/>
            <w:shd w:val="clear" w:color="auto" w:fill="F29D22"/>
            <w:tcMar>
              <w:top w:w="90" w:type="dxa"/>
              <w:left w:w="0" w:type="dxa"/>
              <w:bottom w:w="90" w:type="dxa"/>
              <w:right w:w="120" w:type="dxa"/>
            </w:tcMar>
          </w:tcPr>
          <w:p w14:paraId="2FF8BAEF" w14:textId="77777777" w:rsidR="003410D5" w:rsidRPr="000949F9" w:rsidRDefault="001F710F" w:rsidP="000949F9">
            <w:pPr>
              <w:jc w:val="center"/>
              <w:rPr>
                <w:color w:val="FFFFFF" w:themeColor="background1"/>
              </w:rPr>
            </w:pPr>
            <w:r w:rsidRPr="000949F9">
              <w:rPr>
                <w:rFonts w:ascii="Aptos" w:eastAsia="Aptos" w:hAnsi="Aptos" w:cs="Aptos"/>
                <w:b/>
                <w:bCs/>
                <w:color w:val="FFFFFF" w:themeColor="background1"/>
                <w:spacing w:val="6"/>
                <w:sz w:val="18"/>
                <w:szCs w:val="18"/>
              </w:rPr>
              <w:t>RESOURCE</w:t>
            </w:r>
          </w:p>
        </w:tc>
        <w:tc>
          <w:tcPr>
            <w:tcW w:w="3751" w:type="pct"/>
            <w:shd w:val="clear" w:color="auto" w:fill="F29D22"/>
            <w:tcMar>
              <w:top w:w="90" w:type="dxa"/>
              <w:left w:w="120" w:type="dxa"/>
              <w:bottom w:w="90" w:type="dxa"/>
              <w:right w:w="120" w:type="dxa"/>
            </w:tcMar>
          </w:tcPr>
          <w:p w14:paraId="2FF8BAF0" w14:textId="77777777" w:rsidR="003410D5" w:rsidRPr="000949F9" w:rsidRDefault="001F710F" w:rsidP="000949F9">
            <w:pPr>
              <w:jc w:val="center"/>
              <w:rPr>
                <w:color w:val="FFFFFF" w:themeColor="background1"/>
              </w:rPr>
            </w:pPr>
            <w:r w:rsidRPr="000949F9">
              <w:rPr>
                <w:rFonts w:ascii="Aptos" w:eastAsia="Aptos" w:hAnsi="Aptos" w:cs="Aptos"/>
                <w:b/>
                <w:bCs/>
                <w:color w:val="FFFFFF" w:themeColor="background1"/>
                <w:spacing w:val="6"/>
                <w:sz w:val="18"/>
                <w:szCs w:val="18"/>
              </w:rPr>
              <w:t>DETAILS</w:t>
            </w:r>
          </w:p>
        </w:tc>
      </w:tr>
      <w:tr w:rsidR="003410D5" w14:paraId="2FF8BAF4" w14:textId="77777777" w:rsidTr="000949F9">
        <w:trPr>
          <w:cantSplit/>
        </w:trPr>
        <w:tc>
          <w:tcPr>
            <w:tcW w:w="1249" w:type="pct"/>
            <w:tcMar>
              <w:top w:w="110" w:type="dxa"/>
              <w:left w:w="0" w:type="dxa"/>
              <w:bottom w:w="110" w:type="dxa"/>
              <w:right w:w="120" w:type="dxa"/>
            </w:tcMar>
          </w:tcPr>
          <w:p w14:paraId="2FF8BAF2" w14:textId="77777777" w:rsidR="003410D5" w:rsidRDefault="001F710F" w:rsidP="000949F9">
            <w:pPr>
              <w:jc w:val="center"/>
            </w:pPr>
            <w:r>
              <w:rPr>
                <w:rFonts w:ascii="Aptos" w:eastAsia="Aptos" w:hAnsi="Aptos" w:cs="Aptos"/>
                <w:b/>
                <w:bCs/>
                <w:color w:val="7C7C81"/>
              </w:rPr>
              <w:t>Employee Assistance Programme (EAP)</w:t>
            </w:r>
          </w:p>
        </w:tc>
        <w:tc>
          <w:tcPr>
            <w:tcW w:w="3751" w:type="pct"/>
            <w:tcMar>
              <w:top w:w="110" w:type="dxa"/>
              <w:left w:w="120" w:type="dxa"/>
              <w:bottom w:w="110" w:type="dxa"/>
              <w:right w:w="120" w:type="dxa"/>
            </w:tcMar>
          </w:tcPr>
          <w:p w14:paraId="2FF8BAF3" w14:textId="77777777" w:rsidR="003410D5" w:rsidRDefault="001F710F">
            <w:r>
              <w:rPr>
                <w:rFonts w:ascii="Aptos" w:eastAsia="Aptos" w:hAnsi="Aptos" w:cs="Aptos"/>
                <w:color w:val="7C7C81"/>
              </w:rPr>
              <w:t>[Provider name and contact details - 24/7 confidential helpline and counselling]</w:t>
            </w:r>
          </w:p>
        </w:tc>
      </w:tr>
      <w:tr w:rsidR="003410D5" w14:paraId="2FF8BAF7" w14:textId="77777777" w:rsidTr="000949F9">
        <w:trPr>
          <w:cantSplit/>
        </w:trPr>
        <w:tc>
          <w:tcPr>
            <w:tcW w:w="1249" w:type="pct"/>
            <w:tcMar>
              <w:top w:w="110" w:type="dxa"/>
              <w:left w:w="0" w:type="dxa"/>
              <w:bottom w:w="110" w:type="dxa"/>
              <w:right w:w="120" w:type="dxa"/>
            </w:tcMar>
          </w:tcPr>
          <w:p w14:paraId="2FF8BAF5" w14:textId="77777777" w:rsidR="003410D5" w:rsidRDefault="001F710F" w:rsidP="000949F9">
            <w:pPr>
              <w:jc w:val="center"/>
            </w:pPr>
            <w:r>
              <w:rPr>
                <w:rFonts w:ascii="Aptos" w:eastAsia="Aptos" w:hAnsi="Aptos" w:cs="Aptos"/>
                <w:b/>
                <w:bCs/>
                <w:color w:val="7C7C81"/>
              </w:rPr>
              <w:t>Occupational Health</w:t>
            </w:r>
          </w:p>
        </w:tc>
        <w:tc>
          <w:tcPr>
            <w:tcW w:w="3751" w:type="pct"/>
            <w:tcMar>
              <w:top w:w="110" w:type="dxa"/>
              <w:left w:w="120" w:type="dxa"/>
              <w:bottom w:w="110" w:type="dxa"/>
              <w:right w:w="120" w:type="dxa"/>
            </w:tcMar>
          </w:tcPr>
          <w:p w14:paraId="2FF8BAF6" w14:textId="77777777" w:rsidR="003410D5" w:rsidRDefault="001F710F">
            <w:r>
              <w:rPr>
                <w:rFonts w:ascii="Aptos" w:eastAsia="Aptos" w:hAnsi="Aptos" w:cs="Aptos"/>
                <w:color w:val="7C7C81"/>
              </w:rPr>
              <w:t>[Provider name and referral process - self-referral or manager referral available]</w:t>
            </w:r>
          </w:p>
        </w:tc>
      </w:tr>
      <w:tr w:rsidR="003410D5" w14:paraId="2FF8BAFA" w14:textId="77777777" w:rsidTr="000949F9">
        <w:trPr>
          <w:cantSplit/>
        </w:trPr>
        <w:tc>
          <w:tcPr>
            <w:tcW w:w="1249" w:type="pct"/>
            <w:tcMar>
              <w:top w:w="110" w:type="dxa"/>
              <w:left w:w="0" w:type="dxa"/>
              <w:bottom w:w="110" w:type="dxa"/>
              <w:right w:w="120" w:type="dxa"/>
            </w:tcMar>
          </w:tcPr>
          <w:p w14:paraId="2FF8BAF8" w14:textId="77777777" w:rsidR="003410D5" w:rsidRDefault="001F710F" w:rsidP="000949F9">
            <w:pPr>
              <w:jc w:val="center"/>
            </w:pPr>
            <w:r>
              <w:rPr>
                <w:rFonts w:ascii="Aptos" w:eastAsia="Aptos" w:hAnsi="Aptos" w:cs="Aptos"/>
                <w:b/>
                <w:bCs/>
                <w:color w:val="7C7C81"/>
              </w:rPr>
              <w:t>HR</w:t>
            </w:r>
          </w:p>
        </w:tc>
        <w:tc>
          <w:tcPr>
            <w:tcW w:w="3751" w:type="pct"/>
            <w:tcMar>
              <w:top w:w="110" w:type="dxa"/>
              <w:left w:w="120" w:type="dxa"/>
              <w:bottom w:w="110" w:type="dxa"/>
              <w:right w:w="120" w:type="dxa"/>
            </w:tcMar>
          </w:tcPr>
          <w:p w14:paraId="2FF8BAF9" w14:textId="77777777" w:rsidR="003410D5" w:rsidRDefault="001F710F">
            <w:r>
              <w:rPr>
                <w:rFonts w:ascii="Aptos" w:eastAsia="Aptos" w:hAnsi="Aptos" w:cs="Aptos"/>
                <w:color w:val="7C7C81"/>
              </w:rPr>
              <w:t>[HR contact details - all discussions treated in confidence]</w:t>
            </w:r>
          </w:p>
        </w:tc>
      </w:tr>
      <w:tr w:rsidR="003410D5" w14:paraId="2FF8BAFD" w14:textId="77777777" w:rsidTr="000949F9">
        <w:trPr>
          <w:cantSplit/>
        </w:trPr>
        <w:tc>
          <w:tcPr>
            <w:tcW w:w="1249" w:type="pct"/>
            <w:tcMar>
              <w:top w:w="110" w:type="dxa"/>
              <w:left w:w="0" w:type="dxa"/>
              <w:bottom w:w="110" w:type="dxa"/>
              <w:right w:w="120" w:type="dxa"/>
            </w:tcMar>
          </w:tcPr>
          <w:p w14:paraId="2FF8BAFB" w14:textId="77777777" w:rsidR="003410D5" w:rsidRDefault="001F710F" w:rsidP="000949F9">
            <w:pPr>
              <w:jc w:val="center"/>
            </w:pPr>
            <w:r>
              <w:rPr>
                <w:rFonts w:ascii="Aptos" w:eastAsia="Aptos" w:hAnsi="Aptos" w:cs="Aptos"/>
                <w:b/>
                <w:bCs/>
                <w:color w:val="7C7C81"/>
              </w:rPr>
              <w:t>[Menopause Champion / Peer Network]</w:t>
            </w:r>
          </w:p>
        </w:tc>
        <w:tc>
          <w:tcPr>
            <w:tcW w:w="3751" w:type="pct"/>
            <w:tcMar>
              <w:top w:w="110" w:type="dxa"/>
              <w:left w:w="120" w:type="dxa"/>
              <w:bottom w:w="110" w:type="dxa"/>
              <w:right w:w="120" w:type="dxa"/>
            </w:tcMar>
          </w:tcPr>
          <w:p w14:paraId="2FF8BAFC" w14:textId="77777777" w:rsidR="003410D5" w:rsidRDefault="001F710F">
            <w:r>
              <w:rPr>
                <w:rFonts w:ascii="Aptos" w:eastAsia="Aptos" w:hAnsi="Aptos" w:cs="Aptos"/>
                <w:color w:val="7C7C81"/>
              </w:rPr>
              <w:t>[Name and contact details - or remove if not applicable]</w:t>
            </w:r>
          </w:p>
        </w:tc>
      </w:tr>
      <w:tr w:rsidR="003410D5" w14:paraId="2FF8BB00" w14:textId="77777777" w:rsidTr="000949F9">
        <w:trPr>
          <w:cantSplit/>
        </w:trPr>
        <w:tc>
          <w:tcPr>
            <w:tcW w:w="1249" w:type="pct"/>
            <w:tcMar>
              <w:top w:w="110" w:type="dxa"/>
              <w:left w:w="0" w:type="dxa"/>
              <w:bottom w:w="110" w:type="dxa"/>
              <w:right w:w="120" w:type="dxa"/>
            </w:tcMar>
          </w:tcPr>
          <w:p w14:paraId="2FF8BAFE" w14:textId="77777777" w:rsidR="003410D5" w:rsidRDefault="001F710F" w:rsidP="000949F9">
            <w:pPr>
              <w:jc w:val="center"/>
            </w:pPr>
            <w:r>
              <w:rPr>
                <w:rFonts w:ascii="Aptos" w:eastAsia="Aptos" w:hAnsi="Aptos" w:cs="Aptos"/>
                <w:b/>
                <w:bCs/>
                <w:color w:val="7C7C81"/>
              </w:rPr>
              <w:t>NHS Scotland - Menopause</w:t>
            </w:r>
          </w:p>
        </w:tc>
        <w:tc>
          <w:tcPr>
            <w:tcW w:w="3751" w:type="pct"/>
            <w:tcMar>
              <w:top w:w="110" w:type="dxa"/>
              <w:left w:w="120" w:type="dxa"/>
              <w:bottom w:w="110" w:type="dxa"/>
              <w:right w:w="120" w:type="dxa"/>
            </w:tcMar>
          </w:tcPr>
          <w:p w14:paraId="2FF8BAFF" w14:textId="77777777" w:rsidR="003410D5" w:rsidRDefault="001F710F">
            <w:r>
              <w:rPr>
                <w:rFonts w:ascii="Aptos" w:eastAsia="Aptos" w:hAnsi="Aptos" w:cs="Aptos"/>
                <w:color w:val="7C7C81"/>
              </w:rPr>
              <w:t>www.nhsinform.scot - search menopause for guidance and self-help resources</w:t>
            </w:r>
          </w:p>
        </w:tc>
      </w:tr>
      <w:tr w:rsidR="003410D5" w14:paraId="2FF8BB03" w14:textId="77777777" w:rsidTr="000949F9">
        <w:trPr>
          <w:cantSplit/>
        </w:trPr>
        <w:tc>
          <w:tcPr>
            <w:tcW w:w="1249" w:type="pct"/>
            <w:tcMar>
              <w:top w:w="110" w:type="dxa"/>
              <w:left w:w="0" w:type="dxa"/>
              <w:bottom w:w="110" w:type="dxa"/>
              <w:right w:w="120" w:type="dxa"/>
            </w:tcMar>
          </w:tcPr>
          <w:p w14:paraId="2FF8BB01" w14:textId="77777777" w:rsidR="003410D5" w:rsidRDefault="001F710F" w:rsidP="000949F9">
            <w:pPr>
              <w:jc w:val="center"/>
            </w:pPr>
            <w:r>
              <w:rPr>
                <w:rFonts w:ascii="Aptos" w:eastAsia="Aptos" w:hAnsi="Aptos" w:cs="Aptos"/>
                <w:b/>
                <w:bCs/>
                <w:color w:val="7C7C81"/>
              </w:rPr>
              <w:t>British Menopause Society</w:t>
            </w:r>
          </w:p>
        </w:tc>
        <w:tc>
          <w:tcPr>
            <w:tcW w:w="3751" w:type="pct"/>
            <w:tcMar>
              <w:top w:w="110" w:type="dxa"/>
              <w:left w:w="120" w:type="dxa"/>
              <w:bottom w:w="110" w:type="dxa"/>
              <w:right w:w="120" w:type="dxa"/>
            </w:tcMar>
          </w:tcPr>
          <w:p w14:paraId="2FF8BB02" w14:textId="77777777" w:rsidR="003410D5" w:rsidRDefault="001F710F">
            <w:r>
              <w:rPr>
                <w:rFonts w:ascii="Aptos" w:eastAsia="Aptos" w:hAnsi="Aptos" w:cs="Aptos"/>
                <w:color w:val="7C7C81"/>
              </w:rPr>
              <w:t>www.thebms.org.uk - evidence-based information for patients and professionals</w:t>
            </w:r>
          </w:p>
        </w:tc>
      </w:tr>
      <w:tr w:rsidR="003410D5" w14:paraId="2FF8BB06" w14:textId="77777777" w:rsidTr="000949F9">
        <w:trPr>
          <w:cantSplit/>
        </w:trPr>
        <w:tc>
          <w:tcPr>
            <w:tcW w:w="1249" w:type="pct"/>
            <w:tcMar>
              <w:top w:w="110" w:type="dxa"/>
              <w:left w:w="0" w:type="dxa"/>
              <w:bottom w:w="110" w:type="dxa"/>
              <w:right w:w="120" w:type="dxa"/>
            </w:tcMar>
          </w:tcPr>
          <w:p w14:paraId="2FF8BB04" w14:textId="77777777" w:rsidR="003410D5" w:rsidRDefault="001F710F" w:rsidP="000949F9">
            <w:pPr>
              <w:jc w:val="center"/>
            </w:pPr>
            <w:r>
              <w:rPr>
                <w:rFonts w:ascii="Aptos" w:eastAsia="Aptos" w:hAnsi="Aptos" w:cs="Aptos"/>
                <w:b/>
                <w:bCs/>
                <w:color w:val="7C7C81"/>
              </w:rPr>
              <w:t>Menopause Matters</w:t>
            </w:r>
          </w:p>
        </w:tc>
        <w:tc>
          <w:tcPr>
            <w:tcW w:w="3751" w:type="pct"/>
            <w:tcMar>
              <w:top w:w="110" w:type="dxa"/>
              <w:left w:w="120" w:type="dxa"/>
              <w:bottom w:w="110" w:type="dxa"/>
              <w:right w:w="120" w:type="dxa"/>
            </w:tcMar>
          </w:tcPr>
          <w:p w14:paraId="2FF8BB05" w14:textId="77777777" w:rsidR="003410D5" w:rsidRDefault="001F710F">
            <w:r>
              <w:rPr>
                <w:rFonts w:ascii="Aptos" w:eastAsia="Aptos" w:hAnsi="Aptos" w:cs="Aptos"/>
                <w:color w:val="7C7C81"/>
              </w:rPr>
              <w:t>www.menopausematters.co.uk - practical information and advice</w:t>
            </w:r>
          </w:p>
        </w:tc>
      </w:tr>
    </w:tbl>
    <w:p w14:paraId="2FF8BB07" w14:textId="77777777" w:rsidR="003410D5" w:rsidRDefault="001F710F">
      <w:pPr>
        <w:keepNext/>
        <w:keepLines/>
        <w:spacing w:before="200" w:after="40"/>
      </w:pPr>
      <w:r>
        <w:rPr>
          <w:rFonts w:ascii="Aptos" w:eastAsia="Aptos" w:hAnsi="Aptos" w:cs="Aptos"/>
          <w:b/>
          <w:bCs/>
          <w:color w:val="F29D22"/>
          <w:spacing w:val="20"/>
        </w:rPr>
        <w:t>SECTION 12</w:t>
      </w:r>
    </w:p>
    <w:p w14:paraId="2FF8BB08" w14:textId="77777777" w:rsidR="003410D5" w:rsidRDefault="001F710F">
      <w:pPr>
        <w:keepNext/>
        <w:keepLines/>
      </w:pPr>
      <w:r>
        <w:rPr>
          <w:rFonts w:ascii="Aptos" w:eastAsia="Aptos" w:hAnsi="Aptos" w:cs="Aptos"/>
          <w:b/>
          <w:bCs/>
          <w:color w:val="7C7C81"/>
          <w:sz w:val="24"/>
          <w:szCs w:val="24"/>
        </w:rPr>
        <w:t>Policy Review</w:t>
      </w:r>
    </w:p>
    <w:p w14:paraId="2FF8BB09" w14:textId="77777777" w:rsidR="003410D5" w:rsidRDefault="003410D5">
      <w:pPr>
        <w:keepNext/>
        <w:pBdr>
          <w:bottom w:val="single" w:sz="6" w:space="1" w:color="B9B8B9"/>
        </w:pBdr>
        <w:spacing w:after="120"/>
      </w:pPr>
    </w:p>
    <w:p w14:paraId="2FF8BB0A" w14:textId="77777777" w:rsidR="003410D5" w:rsidRDefault="001F710F">
      <w:pPr>
        <w:spacing w:after="160" w:line="264" w:lineRule="auto"/>
      </w:pPr>
      <w:r>
        <w:rPr>
          <w:rFonts w:ascii="Aptos" w:eastAsia="Aptos" w:hAnsi="Aptos" w:cs="Aptos"/>
          <w:color w:val="7C7C81"/>
        </w:rPr>
        <w:t>This policy will be reviewed annually or following any significant legislative development, material employee feedback or change in the organisation's approach to health and wellbeing. The policy owner is responsible for ensuring it remains current, relevant and genuinely reflective of the organisation's commitment to its people.</w:t>
      </w:r>
    </w:p>
    <w:p w14:paraId="2FF8BB0B" w14:textId="77777777" w:rsidR="003410D5" w:rsidRDefault="001F710F">
      <w:pPr>
        <w:pBdr>
          <w:left w:val="single" w:sz="18" w:space="10" w:color="F29D22"/>
        </w:pBdr>
        <w:spacing w:line="264" w:lineRule="auto"/>
        <w:ind w:left="260"/>
      </w:pPr>
      <w:r>
        <w:rPr>
          <w:rFonts w:ascii="Aptos" w:eastAsia="Aptos" w:hAnsi="Aptos" w:cs="Aptos"/>
          <w:color w:val="7C7C81"/>
        </w:rPr>
        <w:t>For support with menopause awareness training, wellbeing policy development or management coaching - contact White Cube Consulting at hello@whitecubeconsulting.com or call 01224 531524.</w:t>
      </w:r>
    </w:p>
    <w:sectPr w:rsidR="003410D5">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0C889" w14:textId="77777777" w:rsidR="00DC5E25" w:rsidRDefault="00DC5E25">
      <w:r>
        <w:separator/>
      </w:r>
    </w:p>
  </w:endnote>
  <w:endnote w:type="continuationSeparator" w:id="0">
    <w:p w14:paraId="5E7E84BC" w14:textId="77777777" w:rsidR="00DC5E25" w:rsidRDefault="00DC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BB0E" w14:textId="77777777" w:rsidR="003410D5" w:rsidRDefault="001F710F">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FF8BB0F" w14:textId="77777777" w:rsidR="003410D5" w:rsidRDefault="001F710F">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A12C4" w14:textId="77777777" w:rsidR="00DC5E25" w:rsidRDefault="00DC5E25">
      <w:r>
        <w:separator/>
      </w:r>
    </w:p>
  </w:footnote>
  <w:footnote w:type="continuationSeparator" w:id="0">
    <w:p w14:paraId="4B59B05A" w14:textId="77777777" w:rsidR="00DC5E25" w:rsidRDefault="00DC5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BB0C" w14:textId="77777777" w:rsidR="003410D5" w:rsidRDefault="001F710F">
    <w:pPr>
      <w:jc w:val="center"/>
    </w:pPr>
    <w:r>
      <w:rPr>
        <w:noProof/>
      </w:rPr>
      <w:drawing>
        <wp:inline distT="0" distB="0" distL="0" distR="0" wp14:anchorId="2FF8BB10" wp14:editId="2FF8BB11">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FF8BB0D" w14:textId="77777777" w:rsidR="003410D5" w:rsidRDefault="003410D5">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0D78E0"/>
    <w:multiLevelType w:val="hybridMultilevel"/>
    <w:tmpl w:val="FE186DBA"/>
    <w:lvl w:ilvl="0" w:tplc="EFFC1E84">
      <w:start w:val="1"/>
      <w:numFmt w:val="bullet"/>
      <w:lvlText w:val="●"/>
      <w:lvlJc w:val="left"/>
      <w:pPr>
        <w:ind w:left="720" w:hanging="360"/>
      </w:pPr>
    </w:lvl>
    <w:lvl w:ilvl="1" w:tplc="19C86FD0">
      <w:start w:val="1"/>
      <w:numFmt w:val="bullet"/>
      <w:lvlText w:val="○"/>
      <w:lvlJc w:val="left"/>
      <w:pPr>
        <w:ind w:left="1440" w:hanging="360"/>
      </w:pPr>
    </w:lvl>
    <w:lvl w:ilvl="2" w:tplc="FDB00208">
      <w:start w:val="1"/>
      <w:numFmt w:val="bullet"/>
      <w:lvlText w:val="■"/>
      <w:lvlJc w:val="left"/>
      <w:pPr>
        <w:ind w:left="2160" w:hanging="360"/>
      </w:pPr>
    </w:lvl>
    <w:lvl w:ilvl="3" w:tplc="4C44663E">
      <w:start w:val="1"/>
      <w:numFmt w:val="bullet"/>
      <w:lvlText w:val="●"/>
      <w:lvlJc w:val="left"/>
      <w:pPr>
        <w:ind w:left="2880" w:hanging="360"/>
      </w:pPr>
    </w:lvl>
    <w:lvl w:ilvl="4" w:tplc="D340FC2C">
      <w:start w:val="1"/>
      <w:numFmt w:val="bullet"/>
      <w:lvlText w:val="○"/>
      <w:lvlJc w:val="left"/>
      <w:pPr>
        <w:ind w:left="3600" w:hanging="360"/>
      </w:pPr>
    </w:lvl>
    <w:lvl w:ilvl="5" w:tplc="F1C00C06">
      <w:start w:val="1"/>
      <w:numFmt w:val="bullet"/>
      <w:lvlText w:val="■"/>
      <w:lvlJc w:val="left"/>
      <w:pPr>
        <w:ind w:left="4320" w:hanging="360"/>
      </w:pPr>
    </w:lvl>
    <w:lvl w:ilvl="6" w:tplc="8E86391C">
      <w:start w:val="1"/>
      <w:numFmt w:val="bullet"/>
      <w:lvlText w:val="●"/>
      <w:lvlJc w:val="left"/>
      <w:pPr>
        <w:ind w:left="5040" w:hanging="360"/>
      </w:pPr>
    </w:lvl>
    <w:lvl w:ilvl="7" w:tplc="544A15D0">
      <w:start w:val="1"/>
      <w:numFmt w:val="bullet"/>
      <w:lvlText w:val="●"/>
      <w:lvlJc w:val="left"/>
      <w:pPr>
        <w:ind w:left="5760" w:hanging="360"/>
      </w:pPr>
    </w:lvl>
    <w:lvl w:ilvl="8" w:tplc="1DF0D190">
      <w:start w:val="1"/>
      <w:numFmt w:val="bullet"/>
      <w:lvlText w:val="●"/>
      <w:lvlJc w:val="left"/>
      <w:pPr>
        <w:ind w:left="6480" w:hanging="360"/>
      </w:pPr>
    </w:lvl>
  </w:abstractNum>
  <w:num w:numId="1" w16cid:durableId="9946485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0D5"/>
    <w:rsid w:val="000949F9"/>
    <w:rsid w:val="000A0EFC"/>
    <w:rsid w:val="000F7C9B"/>
    <w:rsid w:val="0012112D"/>
    <w:rsid w:val="00195A34"/>
    <w:rsid w:val="001F710F"/>
    <w:rsid w:val="003410D5"/>
    <w:rsid w:val="00571942"/>
    <w:rsid w:val="005C736E"/>
    <w:rsid w:val="00807633"/>
    <w:rsid w:val="00915A05"/>
    <w:rsid w:val="009713CD"/>
    <w:rsid w:val="00A40507"/>
    <w:rsid w:val="00A6039D"/>
    <w:rsid w:val="00A9035B"/>
    <w:rsid w:val="00AA4C37"/>
    <w:rsid w:val="00B77EBF"/>
    <w:rsid w:val="00BB465E"/>
    <w:rsid w:val="00C544F4"/>
    <w:rsid w:val="00DC5E25"/>
    <w:rsid w:val="00F16D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8BA46"/>
  <w15:docId w15:val="{3C9E6292-A0D0-4D85-A458-BE099311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2159</Words>
  <Characters>11512</Characters>
  <Application>Microsoft Office Word</Application>
  <DocSecurity>0</DocSecurity>
  <Lines>442</Lines>
  <Paragraphs>268</Paragraphs>
  <ScaleCrop>false</ScaleCrop>
  <Company/>
  <LinksUpToDate>false</LinksUpToDate>
  <CharactersWithSpaces>13403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Menopause Support Policy</dc:title>
  <dc:creator>White Cube Consulting</dc:creator>
  <cp:lastModifiedBy>Campbell Urquhart</cp:lastModifiedBy>
  <cp:revision>11</cp:revision>
  <dcterms:created xsi:type="dcterms:W3CDTF">2026-07-03T12:12:00Z</dcterms:created>
  <dcterms:modified xsi:type="dcterms:W3CDTF">2026-07-17T09:01:00Z</dcterms:modified>
</cp:coreProperties>
</file>